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49CAD7" w14:textId="77777777" w:rsidR="00DC6685" w:rsidRDefault="00000000">
      <w:pPr>
        <w:jc w:val="center"/>
      </w:pPr>
      <w:r>
        <w:rPr>
          <w:b/>
          <w:color w:val="1F4E79"/>
          <w:sz w:val="36"/>
        </w:rPr>
        <w:t>KUSH REHABILITATION AND EMPOWERMENT PROJECT (REAR PROJECT)</w:t>
      </w:r>
      <w:r>
        <w:rPr>
          <w:b/>
          <w:color w:val="1F4E79"/>
          <w:sz w:val="36"/>
        </w:rPr>
        <w:br/>
      </w:r>
      <w:r>
        <w:rPr>
          <w:b/>
          <w:sz w:val="32"/>
        </w:rPr>
        <w:t>INFORME NARRATIVO INTEGRAL DEL PROYECTO</w:t>
      </w:r>
      <w:r>
        <w:rPr>
          <w:b/>
          <w:sz w:val="32"/>
        </w:rPr>
        <w:br/>
      </w:r>
      <w:r>
        <w:rPr>
          <w:sz w:val="24"/>
        </w:rPr>
        <w:t>Freetown, Sierra Leone</w:t>
      </w:r>
      <w:r>
        <w:rPr>
          <w:sz w:val="24"/>
        </w:rPr>
        <w:br/>
      </w:r>
      <w:r>
        <w:rPr>
          <w:i/>
          <w:sz w:val="22"/>
        </w:rPr>
        <w:t>Sanación · Empoderamiento · Reintegración</w:t>
      </w:r>
    </w:p>
    <w:tbl>
      <w:tblPr>
        <w:tblW w:w="0" w:type="auto"/>
        <w:jc w:val="center"/>
        <w:tblLook w:val="04A0" w:firstRow="1" w:lastRow="0" w:firstColumn="1" w:lastColumn="0" w:noHBand="0" w:noVBand="1"/>
      </w:tblPr>
      <w:tblGrid>
        <w:gridCol w:w="2520"/>
        <w:gridCol w:w="2520"/>
        <w:gridCol w:w="2520"/>
        <w:gridCol w:w="2520"/>
      </w:tblGrid>
      <w:tr w:rsidR="00DC6685" w14:paraId="579CAFFD" w14:textId="77777777">
        <w:trPr>
          <w:jc w:val="center"/>
        </w:trPr>
        <w:tc>
          <w:tcPr>
            <w:tcW w:w="2520" w:type="dxa"/>
            <w:shd w:val="clear" w:color="auto" w:fill="EAF2F8"/>
            <w:vAlign w:val="center"/>
          </w:tcPr>
          <w:p w14:paraId="16F78D46" w14:textId="77777777" w:rsidR="00DC6685" w:rsidRDefault="00000000">
            <w:pPr>
              <w:jc w:val="center"/>
            </w:pPr>
            <w:r>
              <w:rPr>
                <w:b/>
                <w:color w:val="1F4E79"/>
                <w:sz w:val="18"/>
              </w:rPr>
              <w:t>Periodo del informe</w:t>
            </w:r>
            <w:r>
              <w:br/>
            </w:r>
            <w:r>
              <w:rPr>
                <w:b/>
                <w:color w:val="1F4E79"/>
                <w:sz w:val="18"/>
              </w:rPr>
              <w:t>Enero-mayo de 2026</w:t>
            </w:r>
          </w:p>
        </w:tc>
        <w:tc>
          <w:tcPr>
            <w:tcW w:w="2520" w:type="dxa"/>
            <w:shd w:val="clear" w:color="auto" w:fill="EAF2F8"/>
            <w:vAlign w:val="center"/>
          </w:tcPr>
          <w:p w14:paraId="31F370E0" w14:textId="77777777" w:rsidR="00DC6685" w:rsidRDefault="00000000">
            <w:pPr>
              <w:jc w:val="center"/>
            </w:pPr>
            <w:r>
              <w:rPr>
                <w:b/>
                <w:color w:val="1F4E79"/>
                <w:sz w:val="18"/>
              </w:rPr>
              <w:t>Preparado por</w:t>
            </w:r>
            <w:r>
              <w:br/>
            </w:r>
            <w:r>
              <w:rPr>
                <w:b/>
                <w:color w:val="1F4E79"/>
                <w:sz w:val="18"/>
              </w:rPr>
              <w:t>Murray Massaquoi</w:t>
            </w:r>
          </w:p>
        </w:tc>
        <w:tc>
          <w:tcPr>
            <w:tcW w:w="2520" w:type="dxa"/>
            <w:shd w:val="clear" w:color="auto" w:fill="EAF2F8"/>
            <w:vAlign w:val="center"/>
          </w:tcPr>
          <w:p w14:paraId="633E0EED" w14:textId="77777777" w:rsidR="00DC6685" w:rsidRDefault="00000000">
            <w:pPr>
              <w:jc w:val="center"/>
            </w:pPr>
            <w:r>
              <w:rPr>
                <w:b/>
                <w:color w:val="1F4E79"/>
                <w:sz w:val="18"/>
              </w:rPr>
              <w:t>Presentado a</w:t>
            </w:r>
            <w:r>
              <w:br/>
            </w:r>
            <w:r>
              <w:rPr>
                <w:b/>
                <w:color w:val="1F4E79"/>
                <w:sz w:val="18"/>
              </w:rPr>
              <w:t>Programme Manager / Donantes</w:t>
            </w:r>
          </w:p>
        </w:tc>
        <w:tc>
          <w:tcPr>
            <w:tcW w:w="2520" w:type="dxa"/>
            <w:shd w:val="clear" w:color="auto" w:fill="EAF2F8"/>
            <w:vAlign w:val="center"/>
          </w:tcPr>
          <w:p w14:paraId="5ECF73DC" w14:textId="77777777" w:rsidR="00DC6685" w:rsidRDefault="00000000">
            <w:pPr>
              <w:jc w:val="center"/>
            </w:pPr>
            <w:r>
              <w:rPr>
                <w:b/>
                <w:color w:val="1F4E79"/>
                <w:sz w:val="18"/>
              </w:rPr>
              <w:t>Fecha</w:t>
            </w:r>
            <w:r>
              <w:br/>
            </w:r>
            <w:r>
              <w:rPr>
                <w:b/>
                <w:color w:val="1F4E79"/>
                <w:sz w:val="18"/>
              </w:rPr>
              <w:t>Mayo de 2026</w:t>
            </w:r>
          </w:p>
        </w:tc>
      </w:tr>
    </w:tbl>
    <w:p w14:paraId="31185A6C" w14:textId="77777777" w:rsidR="00DC6685" w:rsidRDefault="00DC6685"/>
    <w:tbl>
      <w:tblPr>
        <w:tblW w:w="0" w:type="auto"/>
        <w:jc w:val="center"/>
        <w:tblLook w:val="04A0" w:firstRow="1" w:lastRow="0" w:firstColumn="1" w:lastColumn="0" w:noHBand="0" w:noVBand="1"/>
      </w:tblPr>
      <w:tblGrid>
        <w:gridCol w:w="2520"/>
        <w:gridCol w:w="2520"/>
        <w:gridCol w:w="2520"/>
        <w:gridCol w:w="2520"/>
      </w:tblGrid>
      <w:tr w:rsidR="00DC6685" w14:paraId="42AEF31E" w14:textId="77777777">
        <w:trPr>
          <w:jc w:val="center"/>
        </w:trPr>
        <w:tc>
          <w:tcPr>
            <w:tcW w:w="2520" w:type="dxa"/>
            <w:shd w:val="clear" w:color="auto" w:fill="1F4E79"/>
            <w:vAlign w:val="center"/>
          </w:tcPr>
          <w:p w14:paraId="0E51AF17" w14:textId="77777777" w:rsidR="00DC6685" w:rsidRDefault="00000000">
            <w:pPr>
              <w:jc w:val="center"/>
            </w:pPr>
            <w:r>
              <w:rPr>
                <w:b/>
                <w:color w:val="FFFFFF"/>
                <w:sz w:val="20"/>
              </w:rPr>
              <w:t>16</w:t>
            </w:r>
            <w:r>
              <w:br/>
            </w:r>
            <w:r>
              <w:rPr>
                <w:b/>
                <w:color w:val="FFFFFF"/>
                <w:sz w:val="20"/>
              </w:rPr>
              <w:t>Beneficiarias totales inscritas</w:t>
            </w:r>
          </w:p>
        </w:tc>
        <w:tc>
          <w:tcPr>
            <w:tcW w:w="2520" w:type="dxa"/>
            <w:shd w:val="clear" w:color="auto" w:fill="1F4E79"/>
            <w:vAlign w:val="center"/>
          </w:tcPr>
          <w:p w14:paraId="6EB6AE44" w14:textId="77777777" w:rsidR="00DC6685" w:rsidRDefault="00000000">
            <w:pPr>
              <w:jc w:val="center"/>
            </w:pPr>
            <w:r>
              <w:rPr>
                <w:b/>
                <w:color w:val="FFFFFF"/>
                <w:sz w:val="20"/>
              </w:rPr>
              <w:t>12</w:t>
            </w:r>
            <w:r>
              <w:br/>
            </w:r>
            <w:r>
              <w:rPr>
                <w:b/>
                <w:color w:val="FFFFFF"/>
                <w:sz w:val="20"/>
              </w:rPr>
              <w:t>Altas potenciales / exitosas</w:t>
            </w:r>
          </w:p>
        </w:tc>
        <w:tc>
          <w:tcPr>
            <w:tcW w:w="2520" w:type="dxa"/>
            <w:shd w:val="clear" w:color="auto" w:fill="1F4E79"/>
            <w:vAlign w:val="center"/>
          </w:tcPr>
          <w:p w14:paraId="71484748" w14:textId="77777777" w:rsidR="00DC6685" w:rsidRDefault="00000000">
            <w:pPr>
              <w:jc w:val="center"/>
            </w:pPr>
            <w:r>
              <w:rPr>
                <w:b/>
                <w:color w:val="FFFFFF"/>
                <w:sz w:val="20"/>
              </w:rPr>
              <w:t>16</w:t>
            </w:r>
            <w:r>
              <w:br/>
            </w:r>
            <w:r>
              <w:rPr>
                <w:b/>
                <w:color w:val="FFFFFF"/>
                <w:sz w:val="20"/>
              </w:rPr>
              <w:t>Duración del programa</w:t>
            </w:r>
            <w:r>
              <w:br/>
            </w:r>
            <w:r>
              <w:rPr>
                <w:b/>
                <w:color w:val="FFFFFF"/>
                <w:sz w:val="20"/>
              </w:rPr>
              <w:t>(16 semanas)</w:t>
            </w:r>
          </w:p>
        </w:tc>
        <w:tc>
          <w:tcPr>
            <w:tcW w:w="2520" w:type="dxa"/>
            <w:shd w:val="clear" w:color="auto" w:fill="1F4E79"/>
            <w:vAlign w:val="center"/>
          </w:tcPr>
          <w:p w14:paraId="7CE39A9A" w14:textId="77777777" w:rsidR="00DC6685" w:rsidRDefault="00000000">
            <w:pPr>
              <w:jc w:val="center"/>
            </w:pPr>
            <w:r>
              <w:rPr>
                <w:b/>
                <w:color w:val="FFFFFF"/>
                <w:sz w:val="20"/>
              </w:rPr>
              <w:t>13</w:t>
            </w:r>
            <w:r>
              <w:br/>
            </w:r>
            <w:r>
              <w:rPr>
                <w:b/>
                <w:color w:val="FFFFFF"/>
                <w:sz w:val="20"/>
              </w:rPr>
              <w:t>Miembros del personal desplegados</w:t>
            </w:r>
          </w:p>
        </w:tc>
      </w:tr>
    </w:tbl>
    <w:p w14:paraId="4CB19266" w14:textId="77777777" w:rsidR="00DC6685" w:rsidRDefault="00DC6685"/>
    <w:tbl>
      <w:tblPr>
        <w:tblW w:w="0" w:type="auto"/>
        <w:jc w:val="center"/>
        <w:tblLook w:val="04A0" w:firstRow="1" w:lastRow="0" w:firstColumn="1" w:lastColumn="0" w:noHBand="0" w:noVBand="1"/>
      </w:tblPr>
      <w:tblGrid>
        <w:gridCol w:w="5040"/>
        <w:gridCol w:w="5040"/>
      </w:tblGrid>
      <w:tr w:rsidR="00DC6685" w14:paraId="54283E33" w14:textId="77777777">
        <w:trPr>
          <w:jc w:val="center"/>
        </w:trPr>
        <w:tc>
          <w:tcPr>
            <w:tcW w:w="5040" w:type="dxa"/>
            <w:shd w:val="clear" w:color="auto" w:fill="1F4E79"/>
            <w:vAlign w:val="center"/>
          </w:tcPr>
          <w:p w14:paraId="534A3E5A" w14:textId="77777777" w:rsidR="00DC6685" w:rsidRDefault="00000000">
            <w:pPr>
              <w:jc w:val="center"/>
            </w:pPr>
            <w:r>
              <w:rPr>
                <w:b/>
                <w:color w:val="FFFFFF"/>
                <w:sz w:val="26"/>
              </w:rPr>
              <w:t>1</w:t>
            </w:r>
          </w:p>
        </w:tc>
        <w:tc>
          <w:tcPr>
            <w:tcW w:w="5040" w:type="dxa"/>
            <w:shd w:val="clear" w:color="auto" w:fill="D9EAF7"/>
            <w:vAlign w:val="center"/>
          </w:tcPr>
          <w:p w14:paraId="6246E0BB" w14:textId="77777777" w:rsidR="00DC6685" w:rsidRDefault="00000000">
            <w:r>
              <w:rPr>
                <w:b/>
                <w:color w:val="1F4E79"/>
                <w:sz w:val="24"/>
              </w:rPr>
              <w:t>RESUMEN EJECUTIVO</w:t>
            </w:r>
          </w:p>
        </w:tc>
      </w:tr>
    </w:tbl>
    <w:p w14:paraId="26E70352" w14:textId="77777777" w:rsidR="00DC6685" w:rsidRDefault="00DC6685"/>
    <w:p w14:paraId="07771DA2" w14:textId="77777777" w:rsidR="00DC6685" w:rsidRDefault="00000000">
      <w:pPr>
        <w:spacing w:after="160" w:line="259" w:lineRule="auto"/>
        <w:jc w:val="both"/>
      </w:pPr>
      <w:r>
        <w:t>Este Informe Narrativo Integral del Proyecto documenta el ciclo completo de actividades, intervenciones y resultados desarrollados por el Kush Rehabilitation and Empowerment Project (REAR PROJECT) durante el periodo objeto del informe. REAR es un proyecto residencial de rehabilitación ubicado en la aldea de Makomba, en las inmediaciones de Newton, Sierra Leone, dedicado a la recuperación, el empoderamiento y la reintegración sostenible de niñas y jóvenes afectadas por el consumo de Kush, una sustancia sintética que ha devastado a las poblaciones juveniles urbanas en Sierra Leone y en la región más amplia de la Mano River Union.</w:t>
      </w:r>
    </w:p>
    <w:p w14:paraId="7FB89635" w14:textId="77777777" w:rsidR="00DC6685" w:rsidRDefault="00000000">
      <w:pPr>
        <w:spacing w:after="160" w:line="259" w:lineRule="auto"/>
        <w:jc w:val="both"/>
      </w:pPr>
      <w:r>
        <w:t>La epidemia de Kush ha tenido un impacto desproporcionado y devastador sobre las mujeres jóvenes, exponiéndolas a la adicción, la violencia de género, la exclusión social, la ruptura familiar y la pérdida progresiva de autonomía personal y dignidad. El Proyecto REAR se creó como respuesta directa a esta crisis, ofreciendo un programa residencial estructurado, holístico e informado por el trauma, que aborda no solo las dimensiones físicas de la adicción, sino también los factores psicológicos, sociales, económicos y familiares que la sostienen y que deben ser sanados para que la recuperación sea duradera y significativa.</w:t>
      </w:r>
    </w:p>
    <w:p w14:paraId="67675E98" w14:textId="77777777" w:rsidR="00DC6685" w:rsidRDefault="00000000">
      <w:pPr>
        <w:spacing w:after="160" w:line="259" w:lineRule="auto"/>
        <w:jc w:val="both"/>
      </w:pPr>
      <w:r>
        <w:t>Este informe cubre el ciclo completo del programa, desde la captación inicial y la evaluación de las beneficiarias hasta la terapia individual y grupal, las actividades psicosociales y de empoderamiento, la formación en habilidades vocacionales, las excursiones terapéuticas, la reintegración familiar y la planificación final del alta. Su finalidad es servir tanto como documento de rendición de cuentas para financiadores y partes interesadas como registro vivo de la extraordinaria resiliencia y transformación de las niñas y jóvenes que han participado en el programa.</w:t>
      </w:r>
    </w:p>
    <w:p w14:paraId="03A4EA47" w14:textId="77777777" w:rsidR="00DC6685" w:rsidRDefault="00000000">
      <w:pPr>
        <w:spacing w:after="160" w:line="259" w:lineRule="auto"/>
        <w:jc w:val="both"/>
      </w:pPr>
      <w:r>
        <w:rPr>
          <w:b/>
        </w:rPr>
        <w:t>Filosofía del programa:</w:t>
      </w:r>
      <w:r>
        <w:t xml:space="preserve"> El Proyecto REAR se fundamenta en la convicción de que la recuperación no es el final de un camino, sino el comienzo de uno nuevo. Cada joven que completa este programa sale de él no solo libre de sustancias, sino también equipada con conocimientos terapéuticos, habilidades prácticas, relaciones restauradas y confianza personal para construir una vida plena, productiva y empoderada.</w:t>
      </w:r>
    </w:p>
    <w:tbl>
      <w:tblPr>
        <w:tblW w:w="0" w:type="auto"/>
        <w:jc w:val="center"/>
        <w:tblLook w:val="04A0" w:firstRow="1" w:lastRow="0" w:firstColumn="1" w:lastColumn="0" w:noHBand="0" w:noVBand="1"/>
      </w:tblPr>
      <w:tblGrid>
        <w:gridCol w:w="5040"/>
        <w:gridCol w:w="5040"/>
      </w:tblGrid>
      <w:tr w:rsidR="00DC6685" w14:paraId="77611631" w14:textId="77777777">
        <w:trPr>
          <w:jc w:val="center"/>
        </w:trPr>
        <w:tc>
          <w:tcPr>
            <w:tcW w:w="5040" w:type="dxa"/>
            <w:shd w:val="clear" w:color="auto" w:fill="1F4E79"/>
            <w:vAlign w:val="center"/>
          </w:tcPr>
          <w:p w14:paraId="68BC5F56" w14:textId="77777777" w:rsidR="00DC6685" w:rsidRDefault="00000000">
            <w:pPr>
              <w:jc w:val="center"/>
            </w:pPr>
            <w:r>
              <w:rPr>
                <w:b/>
                <w:color w:val="FFFFFF"/>
                <w:sz w:val="26"/>
              </w:rPr>
              <w:t>2</w:t>
            </w:r>
          </w:p>
        </w:tc>
        <w:tc>
          <w:tcPr>
            <w:tcW w:w="5040" w:type="dxa"/>
            <w:shd w:val="clear" w:color="auto" w:fill="D9EAF7"/>
            <w:vAlign w:val="center"/>
          </w:tcPr>
          <w:p w14:paraId="1DA25344" w14:textId="77777777" w:rsidR="00DC6685" w:rsidRDefault="00000000">
            <w:r>
              <w:rPr>
                <w:b/>
                <w:color w:val="1F4E79"/>
                <w:sz w:val="24"/>
              </w:rPr>
              <w:t>CONTEXTO Y ANTECEDENTES: LA CRISIS DEL KUSH EN SIERRA LEONE</w:t>
            </w:r>
          </w:p>
        </w:tc>
      </w:tr>
    </w:tbl>
    <w:p w14:paraId="629D425F" w14:textId="77777777" w:rsidR="00DC6685" w:rsidRDefault="00DC6685"/>
    <w:p w14:paraId="460817FE" w14:textId="77777777" w:rsidR="00DC6685" w:rsidRDefault="00000000">
      <w:pPr>
        <w:spacing w:after="160" w:line="259" w:lineRule="auto"/>
        <w:jc w:val="both"/>
      </w:pPr>
      <w:r>
        <w:lastRenderedPageBreak/>
        <w:t>Sierra Leone continúa afrontando los complejos legados sociales, económicos e institucionales de una guerra civil devastadora, de la epidemia de Ébola y de una pobreza estructural persistente. En este paisaje social ya frágil, la aparición del Kush —una droga sintética altamente adictiva, de producción barata y amplia disponibilidad— ha introducido una nueva dimensión de crisis. El Kush es una sustancia compuesta cuya composición exacta varía, pero que normalmente contiene una combinación de tramadol, compuestos del cannabis, cannabinoides sintéticos y, en sus formas más peligrosas, formaldehído y otros productos químicos industriales. Es altamente adictiva, destruye rápidamente la salud física y mental, y presenta una prevalencia desproporcionada entre los jóvenes de las comunidades urbanas de Freetown y otras ciudades de Sierra Leone.</w:t>
      </w:r>
    </w:p>
    <w:p w14:paraId="3F8D512D" w14:textId="77777777" w:rsidR="00DC6685" w:rsidRDefault="00000000">
      <w:pPr>
        <w:spacing w:after="160" w:line="259" w:lineRule="auto"/>
        <w:jc w:val="both"/>
      </w:pPr>
      <w:r>
        <w:t>El impacto de la epidemia de Kush sobre las mujeres jóvenes ha sido especialmente grave y se caracteriza por un ciclo acumulativo de daños. Las niñas y jóvenes que consumen Kush no solo afrontan los estragos físicos de la adicción —deterioro físico y cognitivo progresivo, déficit nutricional, susceptibilidad a enfermedades infecciosas y episodios psiquiátricos agudos—, sino también las consecuencias sociales de una dependencia profundamente estigmatizada en una sociedad donde la respetabilidad femenina tiene un enorme peso cultural. Se enfrentan al rechazo familiar, la falta de vivienda, la explotación sexual y la pérdida progresiva de las relaciones, oportunidades y sentido de sí mismas que dan significado y dirección a la vida.</w:t>
      </w:r>
    </w:p>
    <w:p w14:paraId="2B700663" w14:textId="77777777" w:rsidR="00DC6685" w:rsidRDefault="00000000">
      <w:pPr>
        <w:spacing w:after="160" w:line="259" w:lineRule="auto"/>
        <w:jc w:val="both"/>
      </w:pPr>
      <w:r>
        <w:t>En este contexto se estableció el Proyecto REAR: no como una respuesta temporal a una crisis, sino como un programa sostenible, basado en la evidencia y holístico de recuperación y empoderamiento, que trata a las jóvenes bajo su cuidado como seres humanos plenos, merecedores de dignidad, apoyo profesional y oportunidades reales. El programa descrito en este informe representa el compromiso de REAR con esa visión, llevado a cabo actividad por actividad, beneficiaria por beneficiaria y día tras día.</w:t>
      </w:r>
    </w:p>
    <w:tbl>
      <w:tblPr>
        <w:tblW w:w="0" w:type="auto"/>
        <w:jc w:val="center"/>
        <w:tblLook w:val="04A0" w:firstRow="1" w:lastRow="0" w:firstColumn="1" w:lastColumn="0" w:noHBand="0" w:noVBand="1"/>
      </w:tblPr>
      <w:tblGrid>
        <w:gridCol w:w="5040"/>
        <w:gridCol w:w="5040"/>
      </w:tblGrid>
      <w:tr w:rsidR="00DC6685" w14:paraId="6EBFD8C8" w14:textId="77777777">
        <w:trPr>
          <w:jc w:val="center"/>
        </w:trPr>
        <w:tc>
          <w:tcPr>
            <w:tcW w:w="5040" w:type="dxa"/>
            <w:shd w:val="clear" w:color="auto" w:fill="1F4E79"/>
            <w:vAlign w:val="center"/>
          </w:tcPr>
          <w:p w14:paraId="03B1D20B" w14:textId="77777777" w:rsidR="00DC6685" w:rsidRDefault="00000000">
            <w:pPr>
              <w:jc w:val="center"/>
            </w:pPr>
            <w:r>
              <w:rPr>
                <w:b/>
                <w:color w:val="FFFFFF"/>
                <w:sz w:val="26"/>
              </w:rPr>
              <w:t>3</w:t>
            </w:r>
          </w:p>
        </w:tc>
        <w:tc>
          <w:tcPr>
            <w:tcW w:w="5040" w:type="dxa"/>
            <w:shd w:val="clear" w:color="auto" w:fill="D9EAF7"/>
            <w:vAlign w:val="center"/>
          </w:tcPr>
          <w:p w14:paraId="57D3ADD0" w14:textId="77777777" w:rsidR="00DC6685" w:rsidRDefault="00000000">
            <w:r>
              <w:rPr>
                <w:b/>
                <w:color w:val="1F4E79"/>
                <w:sz w:val="24"/>
              </w:rPr>
              <w:t>CAPTACIÓN DE SUPERVIVIENTES</w:t>
            </w:r>
          </w:p>
        </w:tc>
      </w:tr>
    </w:tbl>
    <w:p w14:paraId="50EC50CA" w14:textId="77777777" w:rsidR="00DC6685" w:rsidRDefault="00DC6685"/>
    <w:p w14:paraId="14E43106" w14:textId="77777777" w:rsidR="00DC6685" w:rsidRDefault="00000000">
      <w:pPr>
        <w:spacing w:after="160" w:line="259" w:lineRule="auto"/>
        <w:jc w:val="both"/>
      </w:pPr>
      <w:r>
        <w:t>La captación de supervivientes para el Kush Rehabilitation and Empowerment Project se realizó mediante un sistema estructurado, multicanal, de derivación y trabajo comunitario, diseñado para identificar y alcanzar a niñas y jóvenes afectadas por el consumo de Kush en las diversas comunidades urbanas y rurales de Freetown. El Proyecto REAR no dependió de una única vía de derivación, sino que mantiene alianzas activas con una red de puntos de entrada comunitarios, incluidos servicios sociales y funcionarios de bienestar social, policía y agencias de aplicación de la ley, organizaciones religiosas y líderes comunitarios de fe, así como familiares individuales y miembros preocupados de la comunidad.</w:t>
      </w:r>
    </w:p>
    <w:p w14:paraId="11396C47" w14:textId="77777777" w:rsidR="00DC6685" w:rsidRDefault="00000000">
      <w:pPr>
        <w:spacing w:after="160" w:line="259" w:lineRule="auto"/>
        <w:jc w:val="both"/>
      </w:pPr>
      <w:r>
        <w:t>El personal de sensibilización comunitaria desplegado por el Proyecto REAR mantuvo presencia regular en comunidades urbanas y rurales de alto riesgo —incluidas Kroo Bay, Moa Wharf, Cockle Bay, Allen Town y Goderich—, generando confianza con los miembros de la comunidad, distribuyendo materiales informativos en krio e inglés, y facilitando conversaciones informales que permitieran a las jóvenes hacer preguntas, expresar preocupaciones y tomar sus propias decisiones informadas sobre la búsqueda de ayuda. Este enfoque refleja el compromiso del equipo con una participación voluntaria y basada en el consentimiento, reconociendo que una recuperación sostenible no puede ser impuesta y que la decisión de iniciar tratamiento debe pertenecer, en último término, a la persona.</w:t>
      </w:r>
    </w:p>
    <w:p w14:paraId="62FBA300" w14:textId="77777777" w:rsidR="00DC6685" w:rsidRDefault="00000000">
      <w:pPr>
        <w:spacing w:after="160" w:line="259" w:lineRule="auto"/>
        <w:jc w:val="both"/>
      </w:pPr>
      <w:r>
        <w:t>Durante el periodo del informe se recibieron derivaciones a través de diversos canales. Las derivaciones iniciadas por la familia —cuando un padre, madre u otro familiar cercano manifestaba preocupación por el consumo de drogas de una joven y solicitaba apoyo— representaron una proporción significativa del total. Estas derivaciones reflejaban con frecuencia la dolorosa realidad de familias que habían observado durante semanas o meses patrones de conducta en escalada —aislamiento social, deterioro de la higiene personal, inestabilidad del estado de ánimo, sospecha de consumo de sustancias y empeoramiento de la salud física— antes de encontrar una vía estructurada de ayuda. Las autoderivaciones, en las que las propias jóvenes solicitaban el ingreso en el programa, también constituyeron una categoría importante, reflejando el papel crucial de la concienciación comunitaria y de la reducción del estigma para permitir que las personas busquen ayuda sin vergüenza.</w:t>
      </w:r>
    </w:p>
    <w:p w14:paraId="6AA93494" w14:textId="77777777" w:rsidR="00DC6685" w:rsidRDefault="00000000">
      <w:pPr>
        <w:spacing w:after="160" w:line="259" w:lineRule="auto"/>
        <w:jc w:val="both"/>
      </w:pPr>
      <w:r>
        <w:lastRenderedPageBreak/>
        <w:t>Todas las derivaciones fueron recibidas por el Project Manager de REAR y procesadas mediante una evaluación inicial de admisión: una entrevista estructurada que recopilaba información sobre los antecedentes de la joven, su historia de consumo de sustancias, situación de vivienda, composición familiar, salud física, salud mental y necesidades inmediatas. La evaluación de admisión no sirvió únicamente como ejercicio de recogida de datos, sino como el primer punto de conexión humana genuina entre la participante y el equipo de REAR: una oportunidad para comunicar, desde la primera interacción, que el programa REAR es un espacio de seguridad, respeto y ausencia de juicio.</w:t>
      </w:r>
    </w:p>
    <w:p w14:paraId="7852FC16" w14:textId="77777777" w:rsidR="00DC6685" w:rsidRDefault="00000000">
      <w:pPr>
        <w:spacing w:after="160" w:line="259" w:lineRule="auto"/>
        <w:ind w:left="360" w:right="360"/>
        <w:jc w:val="both"/>
      </w:pPr>
      <w:r>
        <w:rPr>
          <w:i/>
        </w:rPr>
        <w:t>“Para muchas de nuestras supervivientes, el momento de la derivación es simultáneamente el más aterrador y el más esperanzador de sus vidas. Nuestra responsabilidad en ese momento es asegurarnos de que gane la esperanza.” — Project Manager de REAR</w:t>
      </w:r>
    </w:p>
    <w:tbl>
      <w:tblPr>
        <w:tblW w:w="0" w:type="auto"/>
        <w:jc w:val="center"/>
        <w:tblLook w:val="04A0" w:firstRow="1" w:lastRow="0" w:firstColumn="1" w:lastColumn="0" w:noHBand="0" w:noVBand="1"/>
      </w:tblPr>
      <w:tblGrid>
        <w:gridCol w:w="5040"/>
        <w:gridCol w:w="5040"/>
      </w:tblGrid>
      <w:tr w:rsidR="00DC6685" w14:paraId="4232DA3C" w14:textId="77777777">
        <w:trPr>
          <w:jc w:val="center"/>
        </w:trPr>
        <w:tc>
          <w:tcPr>
            <w:tcW w:w="5040" w:type="dxa"/>
            <w:shd w:val="clear" w:color="auto" w:fill="1F4E79"/>
            <w:vAlign w:val="center"/>
          </w:tcPr>
          <w:p w14:paraId="229DCE88" w14:textId="77777777" w:rsidR="00DC6685" w:rsidRDefault="00000000">
            <w:pPr>
              <w:jc w:val="center"/>
            </w:pPr>
            <w:r>
              <w:rPr>
                <w:b/>
                <w:color w:val="FFFFFF"/>
                <w:sz w:val="26"/>
              </w:rPr>
              <w:t>4</w:t>
            </w:r>
          </w:p>
        </w:tc>
        <w:tc>
          <w:tcPr>
            <w:tcW w:w="5040" w:type="dxa"/>
            <w:shd w:val="clear" w:color="auto" w:fill="D9EAF7"/>
            <w:vAlign w:val="center"/>
          </w:tcPr>
          <w:p w14:paraId="1B08F886" w14:textId="77777777" w:rsidR="00DC6685" w:rsidRDefault="00000000">
            <w:r>
              <w:rPr>
                <w:b/>
                <w:color w:val="1F4E79"/>
                <w:sz w:val="24"/>
              </w:rPr>
              <w:t>CRIBADO MÉDICO Y EVALUACIÓN DE SALUD</w:t>
            </w:r>
          </w:p>
        </w:tc>
      </w:tr>
    </w:tbl>
    <w:p w14:paraId="33EB1A6C" w14:textId="77777777" w:rsidR="00DC6685" w:rsidRDefault="00DC6685"/>
    <w:p w14:paraId="5D6166EB" w14:textId="77777777" w:rsidR="00DC6685" w:rsidRDefault="00000000">
      <w:pPr>
        <w:spacing w:after="160" w:line="259" w:lineRule="auto"/>
        <w:jc w:val="both"/>
      </w:pPr>
      <w:r>
        <w:t>Al ingresar en la instalación residencial de REAR, cada superviviente se sometió a un cribado médico integral realizado por CHRIST THE KING HOSPITAL en Waterloo, bajo la supervisión de la enfermera médica del proyecto. El cribado médico fue diseñado para establecer una imagen completa del estado de salud física de cada superviviente en el momento del ingreso, identificar cualquier condición médica aguda o crónica que requiriera atención inmediata, evaluar el alcance y la naturaleza del daño físico relacionado con sustancias, y garantizar que cada superviviente estuviera médicamente estable y fuera apta para la rehabilitación residencial antes de iniciar las actividades del programa.</w:t>
      </w:r>
    </w:p>
    <w:p w14:paraId="7CB61C5C" w14:textId="77777777" w:rsidR="00DC6685" w:rsidRDefault="00000000">
      <w:pPr>
        <w:spacing w:after="160" w:line="259" w:lineRule="auto"/>
        <w:jc w:val="both"/>
      </w:pPr>
      <w:r>
        <w:t>El protocolo de cribado médico incluyó una exploración física completa con signos vitales —presión arterial, temperatura, pulso, frecuencia respiratoria y peso—, evaluación nutricional, valoración de piel y heridas, y exploración de signos de enfermedad infecciosa. Se realizaron análisis de sangre cuando estuvo clínicamente indicado, incluidos cribados de VIH, hepatitis B y C, malaria y tuberculosis, afecciones frente a las cuales las consumidoras de Kush presentan mayor riesgo debido a la función inmunitaria comprometida, la mala nutrición y los entornos de alto riesgo en los que muchas supervivientes habían vivido. Se realizaron pruebas de embarazo a todas las supervivientes, dada la importante prevalencia de explotación sexual en esta población.</w:t>
      </w:r>
    </w:p>
    <w:p w14:paraId="716AF133" w14:textId="77777777" w:rsidR="00DC6685" w:rsidRDefault="00000000">
      <w:pPr>
        <w:spacing w:after="160" w:line="259" w:lineRule="auto"/>
        <w:jc w:val="both"/>
      </w:pPr>
      <w:r>
        <w:t>Una proporción reducida de supervivientes ingresó con necesidades de salud complejas y superpuestas. Se observó déficit nutricional en la mayoría de las nuevas admisiones, manifestado como bajo peso corporal, anemia, fatiga e inmunidad comprometida. También se documentaron con frecuencia deterioro dental, infecciones cutáneas y enfermedades crónicas mal controladas o no tratadas. Varias participantes requirieron intervención médica inmediata —incluido tratamiento de infecciones agudas, cuidados de heridas, tratamiento de malaria y suplementación nutricional— antes de poder participar plenamente en las actividades terapéuticas y de empoderamiento del programa.</w:t>
      </w:r>
    </w:p>
    <w:p w14:paraId="2EB4346E" w14:textId="77777777" w:rsidR="00DC6685" w:rsidRDefault="00000000">
      <w:pPr>
        <w:spacing w:after="160" w:line="259" w:lineRule="auto"/>
        <w:jc w:val="both"/>
      </w:pPr>
      <w:r>
        <w:t>La evaluación de la historia de consumo de sustancias y de la gravedad de la dependencia fue un componente integral del proceso de cribado médico. La consultora psicóloga/terapeuta utilizó herramientas de evaluación validadas para establecer la naturaleza, frecuencia, duración y cantidad del consumo de Kush, la presencia de policonsumo, la gravedad de la dependencia física y la probabilidad e intensidad de los síntomas de abstinencia tras el cese. Esta información fue fundamental para desarrollar planes adecuados de manejo médico durante el periodo de abstinencia y para orientar el diseño, por parte de la supervisora clínica, del programa terapéutico individual de cada superviviente.</w:t>
      </w:r>
    </w:p>
    <w:p w14:paraId="524C2006" w14:textId="77777777" w:rsidR="00DC6685" w:rsidRDefault="00000000">
      <w:pPr>
        <w:spacing w:after="160" w:line="259" w:lineRule="auto"/>
        <w:jc w:val="both"/>
      </w:pPr>
      <w:r>
        <w:t xml:space="preserve">Todos los hallazgos del cribado médico se registraron en expedientes médicos individuales y confidenciales, mantenidos por la enfermera médica bajo controles estrictos de acceso. Las supervivientes fueron informadas del propósito y alcance del cribado, de su derecho a rechazar elementos específicos de la evaluación y de las garantías de confidencialidad que regulaban el uso y almacenamiento de su información sanitaria. Durante todo el proceso de cribado se mantuvo un enfoque centrado en la superviviente y respetuoso con sus derechos, reconociendo que, para </w:t>
      </w:r>
      <w:r>
        <w:lastRenderedPageBreak/>
        <w:t>muchas jóvenes, la exploración médica era una experiencia desconocida y potencialmente generadora de ansiedad que requería comunicación cuidadosa y sensibilidad.</w:t>
      </w:r>
    </w:p>
    <w:p w14:paraId="4D756BA2" w14:textId="77777777" w:rsidR="00DC6685" w:rsidRDefault="00000000">
      <w:pPr>
        <w:spacing w:after="160" w:line="259" w:lineRule="auto"/>
        <w:jc w:val="both"/>
      </w:pPr>
      <w:r>
        <w:rPr>
          <w:b/>
        </w:rPr>
        <w:t>Hallazgo médico al ingreso:</w:t>
      </w:r>
      <w:r>
        <w:t xml:space="preserve"> La mayoría de las supervivientes presentaban déficit nutricional, bajo peso corporal y al menos una condición infecciosa o crónica no tratada. Todas recibieron planes individualizados de atención médica en las primeras 24 horas tras el ingreso, y todas las necesidades médicas agudas fueron atendidas antes del inicio de las actividades terapéuticas del programa.</w:t>
      </w:r>
    </w:p>
    <w:tbl>
      <w:tblPr>
        <w:tblW w:w="0" w:type="auto"/>
        <w:jc w:val="center"/>
        <w:tblLook w:val="04A0" w:firstRow="1" w:lastRow="0" w:firstColumn="1" w:lastColumn="0" w:noHBand="0" w:noVBand="1"/>
      </w:tblPr>
      <w:tblGrid>
        <w:gridCol w:w="5040"/>
        <w:gridCol w:w="5040"/>
      </w:tblGrid>
      <w:tr w:rsidR="00DC6685" w14:paraId="6BCF9320" w14:textId="77777777">
        <w:trPr>
          <w:jc w:val="center"/>
        </w:trPr>
        <w:tc>
          <w:tcPr>
            <w:tcW w:w="5040" w:type="dxa"/>
            <w:shd w:val="clear" w:color="auto" w:fill="1F4E79"/>
            <w:vAlign w:val="center"/>
          </w:tcPr>
          <w:p w14:paraId="2CAEFD72" w14:textId="77777777" w:rsidR="00DC6685" w:rsidRDefault="00000000">
            <w:pPr>
              <w:jc w:val="center"/>
            </w:pPr>
            <w:r>
              <w:rPr>
                <w:b/>
                <w:color w:val="FFFFFF"/>
                <w:sz w:val="26"/>
              </w:rPr>
              <w:t>5</w:t>
            </w:r>
          </w:p>
        </w:tc>
        <w:tc>
          <w:tcPr>
            <w:tcW w:w="5040" w:type="dxa"/>
            <w:shd w:val="clear" w:color="auto" w:fill="D9EAF7"/>
            <w:vAlign w:val="center"/>
          </w:tcPr>
          <w:p w14:paraId="503DBEDA" w14:textId="77777777" w:rsidR="00DC6685" w:rsidRDefault="00000000">
            <w:r>
              <w:rPr>
                <w:b/>
                <w:color w:val="1F4E79"/>
                <w:sz w:val="24"/>
              </w:rPr>
              <w:t>EVALUACIÓN PSICOSOCIAL INDIVIDUAL</w:t>
            </w:r>
          </w:p>
        </w:tc>
      </w:tr>
    </w:tbl>
    <w:p w14:paraId="154C1BFA" w14:textId="77777777" w:rsidR="00DC6685" w:rsidRDefault="00DC6685"/>
    <w:p w14:paraId="23DA0822" w14:textId="77777777" w:rsidR="00DC6685" w:rsidRDefault="00000000">
      <w:pPr>
        <w:spacing w:after="160" w:line="259" w:lineRule="auto"/>
        <w:jc w:val="both"/>
      </w:pPr>
      <w:r>
        <w:t>Tras completar el cribado médico y estabilizar cualquier necesidad aguda de salud, cada superviviente se sometió a una evaluación psicosocial individual integral realizada por los distintos trabajadores sociales. La evaluación psicosocial fue un proceso estructurado pero conversacional: una serie de sesiones individuales que exploraron la historia personal de la superviviente, su contexto familiar, trayectoria educativa, historia de consumo de sustancias, historia traumática, estado de salud mental, red social, situación vital actual y metas y aspiraciones personales.</w:t>
      </w:r>
    </w:p>
    <w:p w14:paraId="7E76D0AC" w14:textId="77777777" w:rsidR="00DC6685" w:rsidRDefault="00000000">
      <w:pPr>
        <w:spacing w:after="160" w:line="259" w:lineRule="auto"/>
        <w:jc w:val="both"/>
      </w:pPr>
      <w:r>
        <w:t>La evaluación se llevó a cabo mediante una combinación de instrumentos psicométricos validados y entrevista clínica abierta. El funcionamiento cognitivo se evaluó informalmente mediante observación y preguntas dirigidas, dado el impacto conocido del consumo prolongado de Kush sobre las funciones ejecutivas, la memoria y la concentración.</w:t>
      </w:r>
    </w:p>
    <w:p w14:paraId="2F304BE6" w14:textId="77777777" w:rsidR="00DC6685" w:rsidRDefault="00000000">
      <w:pPr>
        <w:spacing w:after="160" w:line="259" w:lineRule="auto"/>
        <w:jc w:val="both"/>
      </w:pPr>
      <w:r>
        <w:t>Un componente particularmente significativo de la evaluación individual fue la exploración de la historia traumática de cada superviviente. La investigación y la experiencia clínica demuestran de forma consistente que los trastornos por consumo de sustancias en mujeres jóvenes son con frecuencia secundarios a experiencias primarias de trauma: abuso en la infancia, violencia sexual, violencia doméstica, pérdidas, negligencia y el daño psicosocial acumulado derivado de la pobreza y la exclusión social. Para muchas supervivientes de REAR, el consumo de Kush representaba un mecanismo de afrontamiento: un intento de manejar un dolor insoportable sin el apoyo, el lenguaje o los recursos necesarios para procesarlo de formas más saludables. Comprender esta conexión no era solo clínicamente importante; era éticamente imprescindible, garantizando que el programa terapéutico abordara las causas profundas de la vulnerabilidad de cada superviviente y no solo su manifestación superficial.</w:t>
      </w:r>
    </w:p>
    <w:p w14:paraId="6ADC824E" w14:textId="77777777" w:rsidR="00DC6685" w:rsidRDefault="00000000">
      <w:pPr>
        <w:spacing w:after="160" w:line="259" w:lineRule="auto"/>
        <w:jc w:val="both"/>
      </w:pPr>
      <w:r>
        <w:t>Sobre la base de la evaluación individual, los trabajadores sociales desarrollaron un plan terapéutico de cuidados personalizado para cada superviviente: un documento estructurado que identificaba sus necesidades terapéuticas específicas, fijaba objetivos medibles de recuperación, mapeaba las intervenciones a desplegar durante el ciclo del programa y establecía los indicadores con los que se mediría el progreso. El plan de cuidados fue compartido y discutido con cada superviviente, afirmando su capacidad de agencia en su propio proceso de recuperación y estableciendo la relación terapéutica sobre una base de transparencia, colaboración y respeto mutuo.</w:t>
      </w:r>
    </w:p>
    <w:tbl>
      <w:tblPr>
        <w:tblW w:w="0" w:type="auto"/>
        <w:jc w:val="center"/>
        <w:tblLook w:val="04A0" w:firstRow="1" w:lastRow="0" w:firstColumn="1" w:lastColumn="0" w:noHBand="0" w:noVBand="1"/>
      </w:tblPr>
      <w:tblGrid>
        <w:gridCol w:w="5040"/>
        <w:gridCol w:w="5040"/>
      </w:tblGrid>
      <w:tr w:rsidR="00DC6685" w14:paraId="107F0F75" w14:textId="77777777">
        <w:trPr>
          <w:jc w:val="center"/>
        </w:trPr>
        <w:tc>
          <w:tcPr>
            <w:tcW w:w="5040" w:type="dxa"/>
            <w:shd w:val="clear" w:color="auto" w:fill="1F4E79"/>
            <w:vAlign w:val="center"/>
          </w:tcPr>
          <w:p w14:paraId="287FDCAE" w14:textId="77777777" w:rsidR="00DC6685" w:rsidRDefault="00000000">
            <w:pPr>
              <w:jc w:val="center"/>
            </w:pPr>
            <w:r>
              <w:rPr>
                <w:b/>
                <w:color w:val="FFFFFF"/>
                <w:sz w:val="26"/>
              </w:rPr>
              <w:t>6</w:t>
            </w:r>
          </w:p>
        </w:tc>
        <w:tc>
          <w:tcPr>
            <w:tcW w:w="5040" w:type="dxa"/>
            <w:shd w:val="clear" w:color="auto" w:fill="D9EAF7"/>
            <w:vAlign w:val="center"/>
          </w:tcPr>
          <w:p w14:paraId="4C41B9BB" w14:textId="77777777" w:rsidR="00DC6685" w:rsidRDefault="00000000">
            <w:r>
              <w:rPr>
                <w:b/>
                <w:color w:val="1F4E79"/>
                <w:sz w:val="24"/>
              </w:rPr>
              <w:t>SESIONES DE TERAPIA INDIVIDUAL</w:t>
            </w:r>
          </w:p>
        </w:tc>
      </w:tr>
    </w:tbl>
    <w:p w14:paraId="7580AAC8" w14:textId="77777777" w:rsidR="00DC6685" w:rsidRDefault="00DC6685"/>
    <w:p w14:paraId="6424AC19" w14:textId="77777777" w:rsidR="00DC6685" w:rsidRDefault="00000000">
      <w:pPr>
        <w:spacing w:after="160" w:line="259" w:lineRule="auto"/>
        <w:jc w:val="both"/>
      </w:pPr>
      <w:r>
        <w:t>Las sesiones de terapia individual constituyeron la columna vertebral clínica del programa de rehabilitación: el mecanismo principal mediante el cual se abordaron las necesidades psicológicas, emocionales y conductuales específicas de cada superviviente dentro de una relación terapéutica personalizada, confidencial y guiada profesionalmente. Cada superviviente tuvo asignada al menos una sesión individual de terapia por semana durante todo el ciclo del programa, con sesiones más frecuentes para aquellas identificadas como necesitadas de apoyo intensivo por trauma grave, malestar psicológico agudo o presentaciones clínicas complejas.</w:t>
      </w:r>
    </w:p>
    <w:p w14:paraId="6DEB1512" w14:textId="77777777" w:rsidR="00DC6685" w:rsidRDefault="00000000">
      <w:pPr>
        <w:spacing w:after="160" w:line="259" w:lineRule="auto"/>
        <w:jc w:val="both"/>
      </w:pPr>
      <w:r>
        <w:t xml:space="preserve">Las sesiones fueron realizadas por trabajadores sociales en una sala privada de asesoramiento dentro de la instalación de rehabilitación, un espacio cuidadosamente diseñado para transmitir seguridad, calidez y confidencialidad. Las sesiones duraban aproximadamente cincuenta minutos y se estructuraban en torno a los objetivos terapéuticos </w:t>
      </w:r>
      <w:r>
        <w:lastRenderedPageBreak/>
        <w:t>identificados en el plan individual de cuidados de cada superviviente. Las principales modalidades terapéuticas utilizadas fueron la Terapia Cognitivo-Conductual (TCC), que ayuda a identificar y reestructurar patrones de pensamiento y respuestas conductuales que sostienen el consumo de sustancias y el malestar psicológico, y la Terapia Narrativa, que ayuda a las personas a separar su identidad de sus problemas y a reconstruir un sentido de agencia personal y de identidad empoderada.</w:t>
      </w:r>
    </w:p>
    <w:p w14:paraId="6E943325" w14:textId="77777777" w:rsidR="00DC6685" w:rsidRDefault="00000000">
      <w:pPr>
        <w:spacing w:after="160" w:line="259" w:lineRule="auto"/>
        <w:jc w:val="both"/>
      </w:pPr>
      <w:r>
        <w:t>También se empleó la Entrevista Motivacional (EM), especialmente en las fases iniciales de vinculación, cuando la ambivalencia respecto a la recuperación era más pronunciada. La EM es un enfoque de asesoramiento colaborativo y centrado en la persona que explora y resuelve la ambivalencia ante el cambio, ayudando a las personas a articular sus propias motivaciones para la recuperación en lugar de recibir instrucciones externas impuestas. Para jóvenes que habían experimentado años de desempoderamiento y erosión de su agencia personal, el respeto fundamental de la EM por la autonomía y la autodeterminación no solo resultó terapéuticamente eficaz, sino profundamente reparador.</w:t>
      </w:r>
    </w:p>
    <w:p w14:paraId="467B09F4" w14:textId="77777777" w:rsidR="00DC6685" w:rsidRDefault="00000000">
      <w:pPr>
        <w:spacing w:after="160" w:line="259" w:lineRule="auto"/>
        <w:jc w:val="both"/>
      </w:pPr>
      <w:r>
        <w:t>El contenido de las sesiones individuales varió de forma significativa entre supervivientes y entre etapas del programa. En las primeras semanas, las sesiones se centraron con frecuencia en construir confianza terapéutica, ofrecer psicoeducación sobre el consumo de sustancias y sus efectos sobre el cerebro y el cuerpo, y manejar los síntomas de abstinencia y el síndrome de abstinencia posaguda. A medida que avanzaba el programa, las sesiones se orientaron hacia una exploración más profunda de las historias traumáticas, el desarrollo de habilidades de regulación emocional, la reestructuración cognitiva de patrones de pensamiento que sostenían la adicción y la construcción de estrategias saludables de afrontamiento para reemplazar el consumo. En las últimas semanas, las sesiones se centraron cada vez más en la planificación de prevención de recaídas, el establecimiento de metas futuras y la consolidación de los avances terapéuticos alcanzados.</w:t>
      </w:r>
    </w:p>
    <w:p w14:paraId="7939A4B0" w14:textId="77777777" w:rsidR="00DC6685" w:rsidRDefault="00000000">
      <w:pPr>
        <w:spacing w:after="160" w:line="259" w:lineRule="auto"/>
        <w:jc w:val="both"/>
      </w:pPr>
      <w:r>
        <w:t>El proceso terapéutico nunca fue lineal. El progreso estuvo a menudo atravesado por retrocesos, resistencia, periodos de desbordamiento emocional y momentos de duda. El equipo clínico mantuvo en todo momento una actitud de compasión constante y paciencia profesional, reconociendo que el malestar propio del trabajo terapéutico es en sí mismo una señal de implicación, y que la disposición de la joven a permanecer con sentimientos difíciles, aunque fuera de manera imperfecta, constituía un acto de extraordinario valor.</w:t>
      </w:r>
    </w:p>
    <w:tbl>
      <w:tblPr>
        <w:tblW w:w="0" w:type="auto"/>
        <w:jc w:val="center"/>
        <w:tblLook w:val="04A0" w:firstRow="1" w:lastRow="0" w:firstColumn="1" w:lastColumn="0" w:noHBand="0" w:noVBand="1"/>
      </w:tblPr>
      <w:tblGrid>
        <w:gridCol w:w="5040"/>
        <w:gridCol w:w="5040"/>
      </w:tblGrid>
      <w:tr w:rsidR="00DC6685" w14:paraId="50D9A3CE" w14:textId="77777777">
        <w:trPr>
          <w:jc w:val="center"/>
        </w:trPr>
        <w:tc>
          <w:tcPr>
            <w:tcW w:w="5040" w:type="dxa"/>
            <w:shd w:val="clear" w:color="auto" w:fill="1F4E79"/>
            <w:vAlign w:val="center"/>
          </w:tcPr>
          <w:p w14:paraId="336FE5FB" w14:textId="77777777" w:rsidR="00DC6685" w:rsidRDefault="00000000">
            <w:pPr>
              <w:jc w:val="center"/>
            </w:pPr>
            <w:r>
              <w:rPr>
                <w:b/>
                <w:color w:val="FFFFFF"/>
                <w:sz w:val="26"/>
              </w:rPr>
              <w:t>7</w:t>
            </w:r>
          </w:p>
        </w:tc>
        <w:tc>
          <w:tcPr>
            <w:tcW w:w="5040" w:type="dxa"/>
            <w:shd w:val="clear" w:color="auto" w:fill="D9EAF7"/>
            <w:vAlign w:val="center"/>
          </w:tcPr>
          <w:p w14:paraId="66D69331" w14:textId="77777777" w:rsidR="00DC6685" w:rsidRDefault="00000000">
            <w:r>
              <w:rPr>
                <w:b/>
                <w:color w:val="1F4E79"/>
                <w:sz w:val="24"/>
              </w:rPr>
              <w:t>SESIONES DE TERAPIA GRUPAL</w:t>
            </w:r>
          </w:p>
        </w:tc>
      </w:tr>
    </w:tbl>
    <w:p w14:paraId="486DE9FB" w14:textId="77777777" w:rsidR="00DC6685" w:rsidRDefault="00DC6685"/>
    <w:p w14:paraId="3BB61B59" w14:textId="77777777" w:rsidR="00DC6685" w:rsidRDefault="00000000">
      <w:pPr>
        <w:spacing w:after="160" w:line="259" w:lineRule="auto"/>
        <w:jc w:val="both"/>
      </w:pPr>
      <w:r>
        <w:t>Como complemento al programa de terapia individual, se celebraron sesiones de terapia grupal dos veces por semana durante todo el ciclo del programa, reuniendo a todas las supervivientes en un espacio terapéutico facilitado que aprovechaba el poder sanador singular de la experiencia compartida, el apoyo mutuo y la sabiduría colectiva. Cada sesión grupal duraba aproximadamente sesenta minutos y era cofacilitada por la terapeuta consultora y los trabajadores sociales, con una agenda estructurada que equilibraba contenidos psicoeducativos, ejercicios experienciales y discusión grupal abierta.</w:t>
      </w:r>
    </w:p>
    <w:p w14:paraId="54440504" w14:textId="77777777" w:rsidR="00DC6685" w:rsidRDefault="00000000">
      <w:pPr>
        <w:spacing w:after="160" w:line="259" w:lineRule="auto"/>
        <w:jc w:val="both"/>
      </w:pPr>
      <w:r>
        <w:t>El programa de terapia grupal se estructuró en torno a una serie de módulos temáticos que evolucionaron a lo largo del ciclo. Los primeros módulos se centraron en establecer normas y límites del grupo, construir seguridad y confianza dentro del grupo e introducir el concepto de recuperación como camino compartido y comunitario, no como lucha solitaria. Se apoyó a las supervivientes para que comprendieran que sus experiencias de adicción, trauma, estigma y pérdida no eran únicas: que las jóvenes sentadas a su alrededor habían recorrido caminos similares y entendían desde dentro lo que estaban afrontando. Esta comprensión, alcanzada normalmente de forma gradual durante las primeras dos o tres semanas de trabajo grupal, fue descrita de manera constante por las supervivientes como uno de los momentos más poderosos y transformadores de su experiencia en el programa.</w:t>
      </w:r>
    </w:p>
    <w:p w14:paraId="50814291" w14:textId="77777777" w:rsidR="00DC6685" w:rsidRDefault="00000000">
      <w:pPr>
        <w:spacing w:after="160" w:line="259" w:lineRule="auto"/>
        <w:jc w:val="both"/>
      </w:pPr>
      <w:r>
        <w:t xml:space="preserve">Los módulos temáticos posteriores abordaron temas como la ciencia de la adicción y su impacto en el cerebro, la alfabetización emocional y la identificación y expresión de sentimientos, las estrategias de afrontamiento saludables frente a las no saludables, el manejo de la ira y la resolución de conflictos, la autoestima y la imagen corporal, la presión de grupo y el establecimiento de límites, el impacto del consumo de sustancias en las relaciones y la familia, y </w:t>
      </w:r>
      <w:r>
        <w:lastRenderedPageBreak/>
        <w:t>la planificación de una vida futura orientada a la recuperación. El juego de roles, la escritura reflexiva en diario, los ejercicios de arte visual y las prácticas de mindfulness se integraron en las sesiones grupales como herramientas terapéuticas complementarias, reconociendo la diversidad de estilos de aprendizaje, niveles de alfabetización y comodidad con la expresión verbal entre las participantes.</w:t>
      </w:r>
    </w:p>
    <w:p w14:paraId="09E3A5E5" w14:textId="77777777" w:rsidR="00DC6685" w:rsidRDefault="00000000">
      <w:pPr>
        <w:spacing w:after="160" w:line="259" w:lineRule="auto"/>
        <w:jc w:val="both"/>
      </w:pPr>
      <w:r>
        <w:t>El espacio de terapia grupal evolucionó a lo largo del programa hasta convertirse en algo que trascendía la estructura terapéutica formal: una comunidad de mujeres jóvenes que se cuidaban sinceramente unas a otras, se responsabilizaban mutuamente, celebraban los avances de las demás y se apoyaban en los momentos difíciles. Las facilitadoras observaron de forma constante que las supervivientes compartían en el contexto grupal cuestiones que aún no habían podido articular en sesiones individuales; la presencia validadora de pares que verdaderamente comprendían proporcionaba un nivel de seguridad y permiso que ni siquiera el terapeuta individual más competente puede replicar plenamente.</w:t>
      </w:r>
    </w:p>
    <w:tbl>
      <w:tblPr>
        <w:tblW w:w="0" w:type="auto"/>
        <w:jc w:val="center"/>
        <w:tblLook w:val="04A0" w:firstRow="1" w:lastRow="0" w:firstColumn="1" w:lastColumn="0" w:noHBand="0" w:noVBand="1"/>
      </w:tblPr>
      <w:tblGrid>
        <w:gridCol w:w="5040"/>
        <w:gridCol w:w="5040"/>
      </w:tblGrid>
      <w:tr w:rsidR="00DC6685" w14:paraId="7AC3E383" w14:textId="77777777">
        <w:trPr>
          <w:jc w:val="center"/>
        </w:trPr>
        <w:tc>
          <w:tcPr>
            <w:tcW w:w="5040" w:type="dxa"/>
            <w:shd w:val="clear" w:color="auto" w:fill="1F4E79"/>
            <w:vAlign w:val="center"/>
          </w:tcPr>
          <w:p w14:paraId="7D600746" w14:textId="77777777" w:rsidR="00DC6685" w:rsidRDefault="00000000">
            <w:pPr>
              <w:jc w:val="center"/>
            </w:pPr>
            <w:r>
              <w:rPr>
                <w:b/>
                <w:color w:val="FFFFFF"/>
                <w:sz w:val="26"/>
              </w:rPr>
              <w:t>8</w:t>
            </w:r>
          </w:p>
        </w:tc>
        <w:tc>
          <w:tcPr>
            <w:tcW w:w="5040" w:type="dxa"/>
            <w:shd w:val="clear" w:color="auto" w:fill="D9EAF7"/>
            <w:vAlign w:val="center"/>
          </w:tcPr>
          <w:p w14:paraId="6803F466" w14:textId="77777777" w:rsidR="00DC6685" w:rsidRDefault="00000000">
            <w:r>
              <w:rPr>
                <w:b/>
                <w:color w:val="1F4E79"/>
                <w:sz w:val="24"/>
              </w:rPr>
              <w:t>ACTIVIDAD AGRÍCOLA</w:t>
            </w:r>
          </w:p>
        </w:tc>
      </w:tr>
    </w:tbl>
    <w:p w14:paraId="47FC1F76" w14:textId="77777777" w:rsidR="00DC6685" w:rsidRDefault="00DC6685"/>
    <w:p w14:paraId="2E4FC9E9" w14:textId="77777777" w:rsidR="00DC6685" w:rsidRDefault="00000000">
      <w:pPr>
        <w:spacing w:after="160" w:line="259" w:lineRule="auto"/>
        <w:jc w:val="both"/>
      </w:pPr>
      <w:r>
        <w:t>Las actividades agrícolas se incorporaron al programa diario de rehabilitación como intervención terapéutica y como componente práctico de habilidades para la subsistencia, reflejando la base de evidencia de la terapia hortícola y de las intervenciones basadas en la naturaleza en el tratamiento de los trastornos por consumo de sustancias y la promoción del bienestar mental. Las supervivientes participaron en actividades agrícolas diariamente, de lunes a viernes, bajo la guía del Agricultural Officer.</w:t>
      </w:r>
    </w:p>
    <w:p w14:paraId="4601B388" w14:textId="77777777" w:rsidR="00DC6685" w:rsidRDefault="00000000">
      <w:pPr>
        <w:spacing w:after="160" w:line="259" w:lineRule="auto"/>
        <w:jc w:val="both"/>
      </w:pPr>
      <w:r>
        <w:t>La instalación de rehabilitación mantiene un huerto productivo cultivado por las supervivientes, en el que se producen una variedad de verduras, hierbas y hojas verdes, incluidos tomates, pimientos, garden eggs o berenjenas, okra, hojas de batata, moringa y diversas hierbas locales. Las supervivientes fueron asignadas a equipos de trabajo rotativos responsables de diferentes aspectos del proceso de cultivo: preparación del suelo, siembra, riego, deshierbe, compostaje, cosecha y preparación de los productos para su uso en la cocina del centro. Esta rotación aseguró que todas las supervivientes tuvieran contacto con el ciclo agrícola completo y desarrollaran una comprensión integral de la producción de alimentos desde la tierra hasta la mesa.</w:t>
      </w:r>
    </w:p>
    <w:p w14:paraId="4A51319C" w14:textId="77777777" w:rsidR="00DC6685" w:rsidRDefault="00000000">
      <w:pPr>
        <w:spacing w:after="160" w:line="259" w:lineRule="auto"/>
        <w:jc w:val="both"/>
      </w:pPr>
      <w:r>
        <w:t>Los beneficios terapéuticos del programa agrícola son multidimensionales y profundos. En el nivel más fundamental, trabajar con la tierra —involucrar las manos, el cuerpo y los sentidos en una actividad rítmica, intencional y con propósito— proporcionó una forma de enraizamiento especialmente valiosa para supervivientes que luchaban contra la disociación, la ansiedad y la inquietud psicológica de las primeras etapas de recuperación. El entorno hortícola ofreció un escenario natural para la práctica de mindfulness, animando a las supervivientes a estar plenamente presentes: notar la textura del suelo, el peso del agua en una regadera, el olor de la tierra recién removida y la satisfacción de una semilla plantada exactamente donde debía estar.</w:t>
      </w:r>
    </w:p>
    <w:p w14:paraId="27E91945" w14:textId="77777777" w:rsidR="00DC6685" w:rsidRDefault="00000000">
      <w:pPr>
        <w:spacing w:after="160" w:line="259" w:lineRule="auto"/>
        <w:jc w:val="both"/>
      </w:pPr>
      <w:r>
        <w:t>Más allá de los beneficios terapéuticos inmediatos, el programa agrícola cultivó una serie de cualidades personales transferibles de profunda importancia para la recuperación. Cuidar un huerto requiere paciencia: entender que el crecimiento es un proceso que no puede acelerarse y que la atención constante en el tiempo produce resultados que ninguna intervención dramática aislada puede lograr. Requiere responsabilidad: reconocer que otros seres vivos dependen de la constancia del propio cuidado y que la negligencia tiene consecuencias reales y visibles. Requiere resiliencia: comprender que los contratiempos —plagas, mal tiempo, cosechas fallidas— forman parte del proceso y que la recuperación exige persistir a pesar de la decepción.</w:t>
      </w:r>
    </w:p>
    <w:p w14:paraId="347B3F9D" w14:textId="77777777" w:rsidR="00DC6685" w:rsidRDefault="00000000">
      <w:pPr>
        <w:spacing w:after="160" w:line="259" w:lineRule="auto"/>
        <w:jc w:val="both"/>
      </w:pPr>
      <w:r>
        <w:t>Las supervivientes comentaron con frecuencia la satisfacción particular de cosechar productos que ellas mismas habían cultivado, viendo el resultado tangible de su esfuerzo y cuidado sostenidos. Muchas señalaron que la experiencia de cultivar alimentos había cambiado su relación con la alimentación y con su propio cuerpo, restaurando un sentido de nutrición y autocuidado que la adicción había erosionado gravemente. Los productos cultivados en el huerto de rehabilitación se incorporaron a las comidas diarias del centro, añadiendo una dimensión de propiedad comunitaria y orgullo compartido que reforzó aún más el papel del huerto como lugar de comunidad y pertenencia.</w:t>
      </w:r>
    </w:p>
    <w:tbl>
      <w:tblPr>
        <w:tblW w:w="0" w:type="auto"/>
        <w:jc w:val="center"/>
        <w:tblLook w:val="04A0" w:firstRow="1" w:lastRow="0" w:firstColumn="1" w:lastColumn="0" w:noHBand="0" w:noVBand="1"/>
      </w:tblPr>
      <w:tblGrid>
        <w:gridCol w:w="5040"/>
        <w:gridCol w:w="5040"/>
      </w:tblGrid>
      <w:tr w:rsidR="00DC6685" w14:paraId="1460882D" w14:textId="77777777">
        <w:trPr>
          <w:jc w:val="center"/>
        </w:trPr>
        <w:tc>
          <w:tcPr>
            <w:tcW w:w="5040" w:type="dxa"/>
            <w:shd w:val="clear" w:color="auto" w:fill="1F4E79"/>
            <w:vAlign w:val="center"/>
          </w:tcPr>
          <w:p w14:paraId="774431D0" w14:textId="77777777" w:rsidR="00DC6685" w:rsidRDefault="00000000">
            <w:pPr>
              <w:jc w:val="center"/>
            </w:pPr>
            <w:r>
              <w:rPr>
                <w:b/>
                <w:color w:val="FFFFFF"/>
                <w:sz w:val="26"/>
              </w:rPr>
              <w:lastRenderedPageBreak/>
              <w:t>9</w:t>
            </w:r>
          </w:p>
        </w:tc>
        <w:tc>
          <w:tcPr>
            <w:tcW w:w="5040" w:type="dxa"/>
            <w:shd w:val="clear" w:color="auto" w:fill="D9EAF7"/>
            <w:vAlign w:val="center"/>
          </w:tcPr>
          <w:p w14:paraId="0E37F938" w14:textId="77777777" w:rsidR="00DC6685" w:rsidRDefault="00000000">
            <w:r>
              <w:rPr>
                <w:b/>
                <w:color w:val="1F4E79"/>
                <w:sz w:val="24"/>
              </w:rPr>
              <w:t>CLASES DE SESIONES MUSICALES</w:t>
            </w:r>
          </w:p>
        </w:tc>
      </w:tr>
    </w:tbl>
    <w:p w14:paraId="5654EDFA" w14:textId="77777777" w:rsidR="00DC6685" w:rsidRDefault="00DC6685"/>
    <w:p w14:paraId="133A828A" w14:textId="77777777" w:rsidR="00DC6685" w:rsidRDefault="00000000">
      <w:pPr>
        <w:spacing w:after="160" w:line="259" w:lineRule="auto"/>
        <w:jc w:val="both"/>
      </w:pPr>
      <w:r>
        <w:t>Las clases de sesiones musicales se celebraron una vez por semana durante todo el ciclo del programa y representaron uno de los componentes más queridos, dinámicos y terapéuticamente significativos del programa de rehabilitación. Facilitadas por la Music Heals Arts Facilitator —una musicoterapeuta formada con amplia experiencia en el trabajo con jóvenes en recuperación—, las sesiones se apoyaron en la sólida base de evidencia de la musicoterapia como intervención para trastornos por consumo de sustancias, trauma, depresión y aislamiento social.</w:t>
      </w:r>
    </w:p>
    <w:p w14:paraId="46AE9F21" w14:textId="77777777" w:rsidR="00DC6685" w:rsidRDefault="00000000">
      <w:pPr>
        <w:spacing w:after="160" w:line="259" w:lineRule="auto"/>
        <w:jc w:val="both"/>
      </w:pPr>
      <w:r>
        <w:t>Las sesiones fueron diseñadas deliberadamente para ser inclusivas y no intimidantes, accesibles tanto para supervivientes sin experiencia musical previa como para aquellas con habilidades o intereses musicales existentes. La facilitadora artística abría cada sesión con ejercicios comunitarios, utilizando shakers e instrumentos de percusión improvisados que servían simultáneamente como calentamiento físico, ejercicio de enraizamiento y rompehielos lúdico. Los ritmos repetitivos y predecibles tienen un efecto neurobiológico bien documentado sobre el sistema nervioso: activan el sistema nervioso parasimpático, reducen los niveles de cortisol y favorecen una sensación de calma, seguridad y conexión.</w:t>
      </w:r>
    </w:p>
    <w:p w14:paraId="341B9B44" w14:textId="77777777" w:rsidR="00DC6685" w:rsidRDefault="00000000">
      <w:pPr>
        <w:spacing w:after="160" w:line="259" w:lineRule="auto"/>
        <w:jc w:val="both"/>
      </w:pPr>
      <w:r>
        <w:t>Tras los ejercicios de apertura, las sesiones avanzaban hacia una amplia variedad de actividades basadas en la música, incluidas canciones de llamada y respuesta, el aprendizaje y la interpretación de canciones tradicionales de Sierra Leone y música popular contemporánea.</w:t>
      </w:r>
    </w:p>
    <w:p w14:paraId="22205739" w14:textId="77777777" w:rsidR="00DC6685" w:rsidRDefault="00000000">
      <w:pPr>
        <w:spacing w:after="160" w:line="259" w:lineRule="auto"/>
        <w:jc w:val="both"/>
      </w:pPr>
      <w:r>
        <w:t>Las dimensiones sociales de las sesiones musicales fueron tan terapéuticas como el contenido musical en sí. Hacer música es una actividad inherentemente colaborativa: requiere escuchar, responder, adaptarse a los demás y subordinar la expresión individual a las necesidades del sonido colectivo. Para jóvenes cuyas relaciones habían sido gravemente dañadas por la adicción —que se habían retirado de la interacción social, habían perdido la confianza en los demás y habían experimentado un profundo aislamiento—, la experiencia compartida de hacer música juntas proporcionó un espacio seguro y alegre para practicar las habilidades sociales y las capacidades relacionales que requiere la recuperación.</w:t>
      </w:r>
    </w:p>
    <w:p w14:paraId="4DBEDF2D" w14:textId="77777777" w:rsidR="00DC6685" w:rsidRDefault="00000000">
      <w:pPr>
        <w:spacing w:after="160" w:line="259" w:lineRule="auto"/>
        <w:jc w:val="both"/>
      </w:pPr>
      <w:r>
        <w:t>Hacia la mitad del programa, las sesiones musicales se habían convertido en uno de los acontecimientos más esperados y celebrados con mayor energía en el calendario semanal de rehabilitación. Supervivientes que habían llegado al programa apenas capaces de mantener contacto visual con sus compañeras cantaban con voz plena, reían con libertad y se apoyaban mutuamente con palabras de ánimo y aplausos. La transformación observable en la sala de música semana tras semana fue un microcosmos de la transformación más amplia que ocurría en todo el programa, y un poderoso recordatorio de que la sanación, en su nivel más profundo, no es solo un proceso clínico, sino también humano y comunitario.</w:t>
      </w:r>
    </w:p>
    <w:tbl>
      <w:tblPr>
        <w:tblW w:w="0" w:type="auto"/>
        <w:jc w:val="center"/>
        <w:tblLook w:val="04A0" w:firstRow="1" w:lastRow="0" w:firstColumn="1" w:lastColumn="0" w:noHBand="0" w:noVBand="1"/>
      </w:tblPr>
      <w:tblGrid>
        <w:gridCol w:w="5040"/>
        <w:gridCol w:w="5040"/>
      </w:tblGrid>
      <w:tr w:rsidR="00DC6685" w14:paraId="322A41BE" w14:textId="77777777">
        <w:trPr>
          <w:jc w:val="center"/>
        </w:trPr>
        <w:tc>
          <w:tcPr>
            <w:tcW w:w="5040" w:type="dxa"/>
            <w:shd w:val="clear" w:color="auto" w:fill="1F4E79"/>
            <w:vAlign w:val="center"/>
          </w:tcPr>
          <w:p w14:paraId="2E84A767" w14:textId="77777777" w:rsidR="00DC6685" w:rsidRDefault="00000000">
            <w:pPr>
              <w:jc w:val="center"/>
            </w:pPr>
            <w:r>
              <w:rPr>
                <w:b/>
                <w:color w:val="FFFFFF"/>
                <w:sz w:val="26"/>
              </w:rPr>
              <w:t>10</w:t>
            </w:r>
          </w:p>
        </w:tc>
        <w:tc>
          <w:tcPr>
            <w:tcW w:w="5040" w:type="dxa"/>
            <w:shd w:val="clear" w:color="auto" w:fill="D9EAF7"/>
            <w:vAlign w:val="center"/>
          </w:tcPr>
          <w:p w14:paraId="3216DD08" w14:textId="77777777" w:rsidR="00DC6685" w:rsidRDefault="00000000">
            <w:r>
              <w:rPr>
                <w:b/>
                <w:color w:val="1F4E79"/>
                <w:sz w:val="24"/>
              </w:rPr>
              <w:t>FORMACIÓN EN HABILIDADES VOCACIONALES: SASTRERÍA</w:t>
            </w:r>
          </w:p>
        </w:tc>
      </w:tr>
    </w:tbl>
    <w:p w14:paraId="1A28D497" w14:textId="77777777" w:rsidR="00DC6685" w:rsidRDefault="00DC6685"/>
    <w:p w14:paraId="2B707208" w14:textId="77777777" w:rsidR="00DC6685" w:rsidRDefault="00000000">
      <w:pPr>
        <w:spacing w:after="160" w:line="259" w:lineRule="auto"/>
        <w:jc w:val="both"/>
      </w:pPr>
      <w:r>
        <w:t>La formación en habilidades de sastrería se impartió como parte del eje más amplio de empoderamiento económico del programa de rehabilitación, diseñado para dotar a las supervivientes de habilidades vocacionales comercializables que apoyaran su independencia financiera y seguridad de medios de vida tras el alta. El programa de sastrería fue facilitado por una formadora experimentada en confección de prendas de vestir [Women’s Advocacy and Agricultural Development Organization - WADDO], contratada por sesiones, con el apoyo continuo de los trabajadores sociales. Las sesiones se celebraron dos veces por semana durante la segunda mitad del ciclo del programa, permitiendo que las supervivientes consolidaran suficientemente su progreso terapéutico antes de introducir las exigencias adicionales de una formación vocacional estructurada.</w:t>
      </w:r>
    </w:p>
    <w:p w14:paraId="13D37A32" w14:textId="77777777" w:rsidR="00DC6685" w:rsidRDefault="00000000">
      <w:pPr>
        <w:spacing w:after="160" w:line="259" w:lineRule="auto"/>
        <w:jc w:val="both"/>
      </w:pPr>
      <w:r>
        <w:lastRenderedPageBreak/>
        <w:t>El currículo de sastrería fue diseñado con una orientación práctica y una estructura progresiva, avanzando desde habilidades fundamentales hacia técnicas más complejas en una secuencia que mantenía la implicación de las supervivientes y generaba experiencias regulares de logro y competencia. El programa comenzó con los fundamentos de la selección de telas, corte y toma de medidas, habilidades que demandaban precisión, paciencia y atención al detalle, cualidades que se transferían directamente a los objetivos más amplios del programa de desarrollar disciplina personal y autorregulación. Las supervivientes progresaron después hacia la costura básica a mano, el manejo de máquinas de coser, la confección de prendas sencillas —fundas de almohada, delantales y ropa infantil— y, finalmente, el diseño y confección de prendas completas y utilizables.</w:t>
      </w:r>
    </w:p>
    <w:p w14:paraId="3303891C" w14:textId="77777777" w:rsidR="00DC6685" w:rsidRDefault="00000000">
      <w:pPr>
        <w:spacing w:after="160" w:line="259" w:lineRule="auto"/>
        <w:jc w:val="both"/>
      </w:pPr>
      <w:r>
        <w:t>Las dimensiones terapéuticas del programa de sastrería fueron significativas y fueron observadas de manera constante por el equipo clínico. El acto de crear algo —transformar materiales brutos mediante habilidad y esfuerzo sostenido en un objeto funcional y bello— proporcionó a las supervivientes una experiencia concreta y tangible de agencia creativa, profundamente reparadora para personas cuyo sentido de competencia personal había sido devastado por la adicción. Cada prenda terminada era una demostración visible, tangible y llevable de capacidad: una evidencia, cosida en tela, de que la superviviente podía producir algo valioso con sus propias manos.</w:t>
      </w:r>
    </w:p>
    <w:p w14:paraId="29AFD2D0" w14:textId="77777777" w:rsidR="00DC6685" w:rsidRDefault="00000000">
      <w:pPr>
        <w:spacing w:after="160" w:line="259" w:lineRule="auto"/>
        <w:jc w:val="both"/>
      </w:pPr>
      <w:r>
        <w:t>Al final del módulo de sastrería, todas las supervivientes habían completado al menos cinco prendas completas de diseño propio. Varias demostraron un talento excepcional y un rápido desarrollo de habilidades, produciendo trabajos de calidad comercial que impresionaron tanto a la formadora como a observadores externos. Varias supervivientes expresaron un fuerte deseo de continuar su formación en sastrería y de establecer sus propios pequeños negocios de confección tras el alta, aspiraciones que los trabajadores sociales de rehabilitación apoyaron activamente mediante conexiones con instituciones y empresas locales de confección que ofrecían oportunidades de aprendizaje y empleo.</w:t>
      </w:r>
    </w:p>
    <w:p w14:paraId="59372EA8" w14:textId="77777777" w:rsidR="00DC6685" w:rsidRDefault="00000000">
      <w:pPr>
        <w:spacing w:after="160" w:line="259" w:lineRule="auto"/>
        <w:jc w:val="both"/>
      </w:pPr>
      <w:r>
        <w:t>Durante la ceremonia de alta se realizará una exposición en la que las supervivientes mostrarán las prendas completadas y recibirán sus certificados temporales de formación. Todas las supervivientes vestirán las prendas que ellas mismas han confeccionado durante la ceremonia de alta, un momento de orgullo sereno y profundo descrito como uno de los más emotivos de todo el ciclo del programa.</w:t>
      </w:r>
    </w:p>
    <w:tbl>
      <w:tblPr>
        <w:tblW w:w="0" w:type="auto"/>
        <w:jc w:val="center"/>
        <w:tblLook w:val="04A0" w:firstRow="1" w:lastRow="0" w:firstColumn="1" w:lastColumn="0" w:noHBand="0" w:noVBand="1"/>
      </w:tblPr>
      <w:tblGrid>
        <w:gridCol w:w="5040"/>
        <w:gridCol w:w="5040"/>
      </w:tblGrid>
      <w:tr w:rsidR="00DC6685" w14:paraId="6EEA5800" w14:textId="77777777">
        <w:trPr>
          <w:jc w:val="center"/>
        </w:trPr>
        <w:tc>
          <w:tcPr>
            <w:tcW w:w="5040" w:type="dxa"/>
            <w:shd w:val="clear" w:color="auto" w:fill="1F4E79"/>
            <w:vAlign w:val="center"/>
          </w:tcPr>
          <w:p w14:paraId="3505CC9B" w14:textId="77777777" w:rsidR="00DC6685" w:rsidRDefault="00000000">
            <w:pPr>
              <w:jc w:val="center"/>
            </w:pPr>
            <w:r>
              <w:rPr>
                <w:b/>
                <w:color w:val="FFFFFF"/>
                <w:sz w:val="26"/>
              </w:rPr>
              <w:t>11</w:t>
            </w:r>
          </w:p>
        </w:tc>
        <w:tc>
          <w:tcPr>
            <w:tcW w:w="5040" w:type="dxa"/>
            <w:shd w:val="clear" w:color="auto" w:fill="D9EAF7"/>
            <w:vAlign w:val="center"/>
          </w:tcPr>
          <w:p w14:paraId="3A872D87" w14:textId="77777777" w:rsidR="00DC6685" w:rsidRDefault="00000000">
            <w:r>
              <w:rPr>
                <w:b/>
                <w:color w:val="1F4E79"/>
                <w:sz w:val="24"/>
              </w:rPr>
              <w:t>FORMACIÓN EN HABILIDADES VOCACIONALES: PELUQUERÍA</w:t>
            </w:r>
          </w:p>
        </w:tc>
      </w:tr>
    </w:tbl>
    <w:p w14:paraId="2F3EEE8A" w14:textId="77777777" w:rsidR="00DC6685" w:rsidRDefault="00DC6685"/>
    <w:p w14:paraId="1C51E53F" w14:textId="77777777" w:rsidR="00DC6685" w:rsidRDefault="00000000">
      <w:pPr>
        <w:spacing w:after="160" w:line="259" w:lineRule="auto"/>
        <w:jc w:val="both"/>
      </w:pPr>
      <w:r>
        <w:t>En paralelo al programa de sastrería, la rehabilitación ofreció formación en peluquería y belleza como segunda vía vocacional, reconociendo que las supervivientes tienen distintos intereses, aptitudes y aspiraciones económicas, y que el componente de empoderamiento del programa debe ofrecer una elección real para ser verdaderamente empoderador. El módulo de peluquería fue facilitado por una formadora experimentada procedente de [Women’s Advocacy and Agricultural Development Organization - WADDO] y cubrió un currículo que incluía lavado, acondicionamiento y tratamiento del cabello; técnicas de trenzado y peinado; alisado, texturizado y marcado; y las habilidades empresariales básicas necesarias para operar un pequeño negocio de peluquería.</w:t>
      </w:r>
    </w:p>
    <w:p w14:paraId="0CD475CF" w14:textId="77777777" w:rsidR="00DC6685" w:rsidRDefault="00000000">
      <w:pPr>
        <w:spacing w:after="160" w:line="259" w:lineRule="auto"/>
        <w:jc w:val="both"/>
      </w:pPr>
      <w:r>
        <w:t>Las sesiones de peluquería tuvieron una dimensión terapéutica distintiva que las diferenció de otros componentes vocacionales del programa. El cuidado del cabello —en la cultura de Sierra Leone, como en muchos contextos culturales africanos— es una práctica profundamente relacional y social, arraigada en tradiciones de cuidado mutuo, arreglo comunitario y expresión de identidad y autopresentación a través del estilo. Para jóvenes que habían descuidado gravemente su higiene personal y autocuidado durante el periodo de consumo de sustancias, la experiencia de cuidar su propio cabello y el de sus compañeras fue un acto de recuperación: una restauración del aprecio por sí mismas y del orgullo corporal que la adicción había arrebatado.</w:t>
      </w:r>
    </w:p>
    <w:p w14:paraId="4DB84A75" w14:textId="77777777" w:rsidR="00DC6685" w:rsidRDefault="00000000">
      <w:pPr>
        <w:spacing w:after="160" w:line="259" w:lineRule="auto"/>
        <w:jc w:val="both"/>
      </w:pPr>
      <w:r>
        <w:t xml:space="preserve">Las supervivientes trabajaron en parejas y pequeños grupos durante las sesiones prácticas, practicando técnicas en el cabello de unas y otras bajo la supervisión de la formadora. Estas interacciones —manos en el cabello, cabezas inclinadas en confianza, risas y conversaciones fluyendo junto al trabajo práctico— crearon momentos de profunda </w:t>
      </w:r>
      <w:r>
        <w:lastRenderedPageBreak/>
        <w:t>intimidad y cuidado mutuo que fortalecieron los vínculos entre participantes y contribuyeron a la restauración de formas positivas de relación social. Los trabajadores sociales observaron que las sesiones de peluquería generaban con frecuencia conversaciones espontáneas y sin defensas sobre identidad, belleza, autoestima y aspiraciones, conversaciones de profundidad terapéutica que ocurrían dentro de un contexto de actividad práctica y corporal.</w:t>
      </w:r>
    </w:p>
    <w:p w14:paraId="320D568D" w14:textId="77777777" w:rsidR="00DC6685" w:rsidRDefault="00000000">
      <w:pPr>
        <w:spacing w:after="160" w:line="259" w:lineRule="auto"/>
        <w:jc w:val="both"/>
      </w:pPr>
      <w:r>
        <w:t>Al completar la formación en peluquería, las supervivientes recibirán certificados de formación y serán apoyadas por los trabajadores sociales en la exploración de vías para continuar desarrollando habilidades y acceder al empleo, incluidas conexiones con salones establecidos dispuestos a ofrecer plazas de aprendizaje y oportunidades para acceder a equipamiento inicial mediante la alianza del proyecto con una institución local. Varias supervivientes que han demostrado habilidad excepcional y gran interés en crear sus propios negocios recibirán apoyo para la planificación empresarial.</w:t>
      </w:r>
    </w:p>
    <w:tbl>
      <w:tblPr>
        <w:tblW w:w="0" w:type="auto"/>
        <w:jc w:val="center"/>
        <w:tblLook w:val="04A0" w:firstRow="1" w:lastRow="0" w:firstColumn="1" w:lastColumn="0" w:noHBand="0" w:noVBand="1"/>
      </w:tblPr>
      <w:tblGrid>
        <w:gridCol w:w="5040"/>
        <w:gridCol w:w="5040"/>
      </w:tblGrid>
      <w:tr w:rsidR="00DC6685" w14:paraId="43CC7297" w14:textId="77777777">
        <w:trPr>
          <w:jc w:val="center"/>
        </w:trPr>
        <w:tc>
          <w:tcPr>
            <w:tcW w:w="5040" w:type="dxa"/>
            <w:shd w:val="clear" w:color="auto" w:fill="1F4E79"/>
            <w:vAlign w:val="center"/>
          </w:tcPr>
          <w:p w14:paraId="44BE3637" w14:textId="77777777" w:rsidR="00DC6685" w:rsidRDefault="00000000">
            <w:pPr>
              <w:jc w:val="center"/>
            </w:pPr>
            <w:r>
              <w:rPr>
                <w:b/>
                <w:color w:val="FFFFFF"/>
                <w:sz w:val="26"/>
              </w:rPr>
              <w:t>12</w:t>
            </w:r>
          </w:p>
        </w:tc>
        <w:tc>
          <w:tcPr>
            <w:tcW w:w="5040" w:type="dxa"/>
            <w:shd w:val="clear" w:color="auto" w:fill="D9EAF7"/>
            <w:vAlign w:val="center"/>
          </w:tcPr>
          <w:p w14:paraId="5032B166" w14:textId="77777777" w:rsidR="00DC6685" w:rsidRDefault="00000000">
            <w:r>
              <w:rPr>
                <w:b/>
                <w:color w:val="1F4E79"/>
                <w:sz w:val="24"/>
              </w:rPr>
              <w:t>EXCURSIÓN TERAPÉUTICA: KENT VILLAGE Y BUREH BEACH</w:t>
            </w:r>
          </w:p>
        </w:tc>
      </w:tr>
    </w:tbl>
    <w:p w14:paraId="1554F136" w14:textId="77777777" w:rsidR="00DC6685" w:rsidRDefault="00DC6685"/>
    <w:p w14:paraId="76B65CBC" w14:textId="77777777" w:rsidR="00DC6685" w:rsidRDefault="00000000">
      <w:pPr>
        <w:spacing w:after="160" w:line="259" w:lineRule="auto"/>
        <w:jc w:val="both"/>
      </w:pPr>
      <w:r>
        <w:t>Uno de los acontecimientos más esperados e impactantes del ciclo del programa de rehabilitación fue la excursión terapéutica a la playa de Kent Village y Bureh Beach, situada a lo largo de la impresionante península occidental de Sierra Leone. La excursión fue planificada y facilitada por el Project Manager, con acompañamiento completo del personal durante todo el día para garantizar la seguridad, el bienestar y la integridad terapéutica de la salida. Asistieron todas las supervivientes, una participación completa del grupo que reflejó la emoción y la anticipación positiva generadas por el evento.</w:t>
      </w:r>
    </w:p>
    <w:p w14:paraId="4D109A5F" w14:textId="77777777" w:rsidR="00DC6685" w:rsidRDefault="00000000">
      <w:pPr>
        <w:spacing w:after="160" w:line="259" w:lineRule="auto"/>
        <w:jc w:val="both"/>
      </w:pPr>
      <w:r>
        <w:t>El día comenzó con la salida por la mañana desde la instalación de rehabilitación tras el desayuno y una sesión informativa previa en la que el Project Manager explicó el programa del día, revisó las expectativas de seguridad y conducta, e invitó a las supervivientes a establecer una intención personal para la jornada: algo que esperaban sentir, experimentar o comprender antes de regresar. Estas intenciones fueron compartidas en círculo antes de subir al vehículo. El trayecto por la carretera de la península, con vistas a la costa atlántica, fue en sí mismo un momento de alegría y anticipación colectiva.</w:t>
      </w:r>
    </w:p>
    <w:p w14:paraId="10FF14F1" w14:textId="77777777" w:rsidR="00DC6685" w:rsidRDefault="00000000">
      <w:pPr>
        <w:spacing w:after="160" w:line="259" w:lineRule="auto"/>
        <w:jc w:val="both"/>
      </w:pPr>
      <w:r>
        <w:t>Al llegar a Kent Village a primera hora de la tarde, las supervivientes fueron recibidas por la imagen y el sonido del océano: vasto, luminoso e indiferente a los problemas de cualquier vida individual de un modo que muchas encontraron profundamente liberador. El grupo se instaló en la playa y el Project Manager dirigió una sesión guiada de mindfulness y relajación: respirar al ritmo de las olas, sentir la arena bajo las manos y permitir que los sonidos del océano las anclaran plenamente en el momento presente. Varias supervivientes que se habían mostrado resistentes a las prácticas de mindfulness dentro del entorno residencial encontraron en la playa un punto de entrada más suave y natural hacia la conciencia del presente. Los guías turísticos explicaron asimismo la orientación histórica de los lugares vinculados a la esclavitud en Kent Village.</w:t>
      </w:r>
    </w:p>
    <w:p w14:paraId="24D320A4" w14:textId="77777777" w:rsidR="00DC6685" w:rsidRDefault="00000000">
      <w:pPr>
        <w:spacing w:after="160" w:line="259" w:lineRule="auto"/>
        <w:jc w:val="both"/>
      </w:pPr>
      <w:r>
        <w:t>Las horas centrales del día en Bureh Beach se dedicaron a tiempo libre supervisado: nadar en las olas poco profundas, construir estructuras en la arena, jugar en la playa y simplemente sentarse en pequeños grupos conversando, riendo y estando juntas de una manera cualitativamente distinta a la del entorno residencial. El personal se situó discretamente a lo largo de la playa manteniendo plena supervisión, permitiendo a las supervivientes experimentar una libertad relativa dentro de una estructura de cuidado. Para jóvenes que habían pasado meses en un entorno residencial estructurado, la amplitud de la playa y el permiso para simplemente ser —sin agenda, sin tarea terapéutica, sin la presión del trabajo formal de recuperación— fueron en sí mismos una forma de restauración. El personal presente lo describió como uno de los momentos más poderosos y conmovedores de cualquier ciclo de programa que habían vivido.</w:t>
      </w:r>
    </w:p>
    <w:tbl>
      <w:tblPr>
        <w:tblW w:w="0" w:type="auto"/>
        <w:jc w:val="center"/>
        <w:tblLook w:val="04A0" w:firstRow="1" w:lastRow="0" w:firstColumn="1" w:lastColumn="0" w:noHBand="0" w:noVBand="1"/>
      </w:tblPr>
      <w:tblGrid>
        <w:gridCol w:w="5040"/>
        <w:gridCol w:w="5040"/>
      </w:tblGrid>
      <w:tr w:rsidR="00DC6685" w14:paraId="1EB3AC2B" w14:textId="77777777">
        <w:trPr>
          <w:jc w:val="center"/>
        </w:trPr>
        <w:tc>
          <w:tcPr>
            <w:tcW w:w="5040" w:type="dxa"/>
            <w:shd w:val="clear" w:color="auto" w:fill="1F4E79"/>
            <w:vAlign w:val="center"/>
          </w:tcPr>
          <w:p w14:paraId="52980B2B" w14:textId="77777777" w:rsidR="00DC6685" w:rsidRDefault="00000000">
            <w:pPr>
              <w:jc w:val="center"/>
            </w:pPr>
            <w:r>
              <w:rPr>
                <w:b/>
                <w:color w:val="FFFFFF"/>
                <w:sz w:val="26"/>
              </w:rPr>
              <w:t>13</w:t>
            </w:r>
          </w:p>
        </w:tc>
        <w:tc>
          <w:tcPr>
            <w:tcW w:w="5040" w:type="dxa"/>
            <w:shd w:val="clear" w:color="auto" w:fill="D9EAF7"/>
            <w:vAlign w:val="center"/>
          </w:tcPr>
          <w:p w14:paraId="2DF1576D" w14:textId="77777777" w:rsidR="00DC6685" w:rsidRDefault="00000000">
            <w:r>
              <w:rPr>
                <w:b/>
                <w:color w:val="1F4E79"/>
                <w:sz w:val="24"/>
              </w:rPr>
              <w:t>VISITAS FAMILIARES TEMPORALES</w:t>
            </w:r>
          </w:p>
        </w:tc>
      </w:tr>
    </w:tbl>
    <w:p w14:paraId="6DE0B09B" w14:textId="77777777" w:rsidR="00DC6685" w:rsidRDefault="00DC6685"/>
    <w:p w14:paraId="5FE412FB" w14:textId="77777777" w:rsidR="00DC6685" w:rsidRDefault="00000000">
      <w:pPr>
        <w:spacing w:after="160" w:line="259" w:lineRule="auto"/>
        <w:jc w:val="both"/>
      </w:pPr>
      <w:r>
        <w:lastRenderedPageBreak/>
        <w:t>La restauración de las relaciones familiares es central en la filosofía de recuperación y reintegración de REAR. La adicción no afecta solo a la persona que consume sustancias: reverbera en sistemas familiares enteros, dañando la confianza, tensando vínculos, generando conflictos y dejando cicatrices que requieren sanación deliberada junto con la recuperación de la participante individual. El programa de visitas familiares temporales está diseñado para facilitar la restauración gradual, estructurada y terapéuticamente acompañada de las relaciones familiares como componente integral del proceso más amplio de recuperación.</w:t>
      </w:r>
    </w:p>
    <w:p w14:paraId="4BB91DF2" w14:textId="77777777" w:rsidR="00DC6685" w:rsidRDefault="00000000">
      <w:pPr>
        <w:spacing w:after="160" w:line="259" w:lineRule="auto"/>
        <w:jc w:val="both"/>
      </w:pPr>
      <w:r>
        <w:t>El contacto familiar se inició en una fase temprana del ciclo del programa —dentro de las primeras cinco o seis semanas desde el ingreso—, comenzando con una sesión de implicación familiar facilitada por el Case Manager en la instalación de rehabilitación. Estas sesiones iniciales cumplieron múltiples propósitos: proporcionaron a los familiares información precisa sobre la adicción al Kush y el proceso de recuperación; crearon un espacio seguro para que expresaran sus preocupaciones, miedos y sentimientos sobre la situación de su ser querido; y establecieron la base de una alianza colaborativa y terapéutica entre la familia y el equipo de rehabilitación. Muchos familiares llegaron a estas sesiones iniciales con mezclas complejas de alivio, duelo, ira, culpa y esperanza, emociones que el Case Manager y los trabajadores sociales supieron acoger con empatía y canalizar de forma productiva.</w:t>
      </w:r>
    </w:p>
    <w:p w14:paraId="17BEA2EF" w14:textId="77777777" w:rsidR="00DC6685" w:rsidRDefault="00000000">
      <w:pPr>
        <w:spacing w:after="160" w:line="259" w:lineRule="auto"/>
        <w:jc w:val="both"/>
      </w:pPr>
      <w:r>
        <w:t>El proceso de visitas temporales se rigió por Planes Individualizados de Reunificación Temporal: documentos formales desarrollados por los trabajadores sociales en consulta con cada superviviente y su familia, que establecían el calendario, el alcance, las condiciones y los objetivos de cada etapa de contacto familiar. El proceso fue deliberadamente gradual, empezando con visitas supervisadas en la instalación de rehabilitación antes de avanzar hacia visitas más largas, visitas domiciliarias y, finalmente, estancias nocturnas prolongadas, en función de la confianza, la preparación y el progreso terapéutico.</w:t>
      </w:r>
    </w:p>
    <w:p w14:paraId="077D7262" w14:textId="77777777" w:rsidR="00DC6685" w:rsidRDefault="00000000">
      <w:pPr>
        <w:spacing w:after="160" w:line="259" w:lineRule="auto"/>
        <w:jc w:val="both"/>
      </w:pPr>
      <w:r>
        <w:t>Las primeras visitas supervisadas en la instalación de rehabilitación fueron cuidadosamente preparadas, con la superviviente y sus familiares recibiendo preparación específica del equipo clínico sobre qué esperar, cómo comunicarse y cómo manejar las emociones que probablemente generaría el reencuentro. Para supervivientes que habían estado distanciadas de sus familias durante periodos prolongados —algunas durante meses, otras durante años—, el momento del reencuentro fue invariablemente uno de los más cargados emocionalmente de todo el ciclo del programa. Las lágrimas fueron frecuentes. A veces, el silencio habló con más elocuencia que las palabras. Y tras estas visitas, el trabajo terapéutico se profundizó: emergieron emociones, se hicieron posibles conversaciones que no habían sido posibles durante años y se sentaron de forma tentativa las bases de relaciones restauradas.</w:t>
      </w:r>
    </w:p>
    <w:p w14:paraId="7299DEFB" w14:textId="77777777" w:rsidR="00DC6685" w:rsidRDefault="00000000">
      <w:pPr>
        <w:spacing w:after="160" w:line="259" w:lineRule="auto"/>
        <w:jc w:val="both"/>
      </w:pPr>
      <w:r>
        <w:t>Las visitas domiciliarias, introducidas cuando el progreso terapéutico de la superviviente y la preparación de la familia indicaban suficiente seguridad y estabilidad, se realizaron inicialmente durante medio día, después durante un día completo y posteriormente con una noche de estancia. Cada visita de retorno fue seguida de una sesión de evaluación con la superviviente y de un informe del trabajador de apoyo visitante, lo que permitió al equipo clínico monitorizar la calidad del entorno familiar, el bienestar de la superviviente durante la visita y cualquier problema que requiriera atención terapéutica adicional. Cuando las dinámicas familiares resultaron difíciles —cuando reaparecían patrones antiguos de conflicto, culpa o conducta facilitadora— se ofrecieron sesiones adicionales de asesoramiento familiar para abordar estas cuestiones de forma constructiva.</w:t>
      </w:r>
    </w:p>
    <w:p w14:paraId="140C4B08" w14:textId="77777777" w:rsidR="00DC6685" w:rsidRDefault="00000000">
      <w:pPr>
        <w:spacing w:after="160" w:line="259" w:lineRule="auto"/>
        <w:jc w:val="both"/>
      </w:pPr>
      <w:r>
        <w:t>El programa de visitas temporales produjo resultados de profunda importancia en todo el grupo. Al final del programa, la mayoría de las supervivientes se habían reconectado con al menos un familiar clave, habían participado en al menos una visita domiciliaria exitosa y referían relaciones familiares mejoradas y una sensación creciente de ser bienvenidas de nuevo en la unidad familiar. Para la minoría de supervivientes cuyas situaciones familiares eran demasiado complejas, inseguras o poco apoyadoras para sostener una reunificación familiar tradicional, el programa facilitará conexiones con redes de apoyo comunitarias; los trabajadores sociales trabajan incansablemente en sus casos para reconectarlas al menos con un familiar.</w:t>
      </w:r>
    </w:p>
    <w:tbl>
      <w:tblPr>
        <w:tblW w:w="0" w:type="auto"/>
        <w:jc w:val="center"/>
        <w:tblLook w:val="04A0" w:firstRow="1" w:lastRow="0" w:firstColumn="1" w:lastColumn="0" w:noHBand="0" w:noVBand="1"/>
      </w:tblPr>
      <w:tblGrid>
        <w:gridCol w:w="5040"/>
        <w:gridCol w:w="5040"/>
      </w:tblGrid>
      <w:tr w:rsidR="00DC6685" w14:paraId="3C57431B" w14:textId="77777777">
        <w:trPr>
          <w:jc w:val="center"/>
        </w:trPr>
        <w:tc>
          <w:tcPr>
            <w:tcW w:w="5040" w:type="dxa"/>
            <w:shd w:val="clear" w:color="auto" w:fill="1F4E79"/>
            <w:vAlign w:val="center"/>
          </w:tcPr>
          <w:p w14:paraId="36A73185" w14:textId="77777777" w:rsidR="00DC6685" w:rsidRDefault="00000000">
            <w:pPr>
              <w:jc w:val="center"/>
            </w:pPr>
            <w:r>
              <w:rPr>
                <w:b/>
                <w:color w:val="FFFFFF"/>
                <w:sz w:val="26"/>
              </w:rPr>
              <w:t>14</w:t>
            </w:r>
          </w:p>
        </w:tc>
        <w:tc>
          <w:tcPr>
            <w:tcW w:w="5040" w:type="dxa"/>
            <w:shd w:val="clear" w:color="auto" w:fill="D9EAF7"/>
            <w:vAlign w:val="center"/>
          </w:tcPr>
          <w:p w14:paraId="47239D53" w14:textId="77777777" w:rsidR="00DC6685" w:rsidRDefault="00000000">
            <w:r>
              <w:rPr>
                <w:b/>
                <w:color w:val="1F4E79"/>
                <w:sz w:val="24"/>
              </w:rPr>
              <w:t>PLAN FINAL DE REUNIFICACIÓN Y ALTA</w:t>
            </w:r>
          </w:p>
        </w:tc>
      </w:tr>
    </w:tbl>
    <w:p w14:paraId="7AB6475C" w14:textId="77777777" w:rsidR="00DC6685" w:rsidRDefault="00DC6685"/>
    <w:p w14:paraId="3DDC8B7C" w14:textId="77777777" w:rsidR="00DC6685" w:rsidRDefault="00000000">
      <w:pPr>
        <w:spacing w:after="160" w:line="259" w:lineRule="auto"/>
        <w:jc w:val="both"/>
      </w:pPr>
      <w:r>
        <w:lastRenderedPageBreak/>
        <w:t>La fase final del ciclo del programa de rehabilitación —el desarrollo e implementación del Plan Final de Reunificación— representa la culminación de todo el trabajo terapéutico, de empoderamiento y de implicación familiar de los meses anteriores, y el puente entre la seguridad del programa residencial y la realidad de la vida en la comunidad. El Plan Final de Reunificación se ha desarrollado para cada superviviente mediante un proceso estructurado y multiactor que incluye a la propia superviviente, su familia o personas designadas de apoyo comunitario, el trabajador social, la consultora, la enfermera médica y el Project Manager.</w:t>
      </w:r>
    </w:p>
    <w:p w14:paraId="50DFDFA6" w14:textId="77777777" w:rsidR="00DC6685" w:rsidRDefault="00000000">
      <w:pPr>
        <w:spacing w:after="160" w:line="259" w:lineRule="auto"/>
        <w:jc w:val="both"/>
      </w:pPr>
      <w:r>
        <w:t>El desarrollo del Plan Final de Reunificación ha comenzado, permitiendo tiempo suficiente para que el plan sea elaborado con cuidado, probado mediante visitas domiciliarias prolongadas, ajustado en respuesta a la experiencia práctica y confirmado como seguro y adecuado antes de la salida formal de la superviviente de la instalación residencial. El plan abordó todas las dimensiones de la vida posterior al alta: alojamiento y condiciones de vida, red de apoyo familiar y social, medios de vida y sostenibilidad económica, apoyo terapéutico o psicosocial continuado, seguimiento sanitario y prevención de recaídas.</w:t>
      </w:r>
    </w:p>
    <w:p w14:paraId="3793C7B6" w14:textId="77777777" w:rsidR="00DC6685" w:rsidRDefault="00000000">
      <w:pPr>
        <w:spacing w:after="160" w:line="259" w:lineRule="auto"/>
        <w:jc w:val="both"/>
      </w:pPr>
      <w:r>
        <w:t>El componente de alojamiento del plan confirmó dónde viviría la superviviente tras el alta —ya fuera con la familia, en alojamiento comunitario con apoyo o mediante otra fórmula— y evaluó la seguridad y adecuación de ese entorno para sostener la recuperación. Cuando se identificó alojamiento familiar, el plan documentó los compromisos específicos asumidos por los familiares para apoyar la recuperación de la superviviente, incluido el acuerdo de mantener un hogar libre de drogas, abstenerse de conductas que históricamente hubieran desencadenado el consumo de sustancias y participar en sesiones continuadas de apoyo familiar ofrecidas por el programa de seguimiento de REAR Project.</w:t>
      </w:r>
    </w:p>
    <w:p w14:paraId="3B6153E1" w14:textId="77777777" w:rsidR="00DC6685" w:rsidRDefault="00000000">
      <w:pPr>
        <w:spacing w:after="160" w:line="259" w:lineRule="auto"/>
        <w:jc w:val="both"/>
      </w:pPr>
      <w:r>
        <w:t>El componente de medios de vida del plan documentó los planes de empleo, aprendizaje o desarrollo empresarial de la superviviente, incluidos acuerdos de microfinanciación, contactos con empleadores, planes de continuación formativa o apoyos al desarrollo empresarial que se hubieran activado. Los trabajadores sociales se asegurarán de que cada superviviente salga del programa con una vía económica concreta y realista, no simplemente con una aspiración vaga de “encontrar trabajo”, sino con un plan específico con contactos identificados, fechas de inicio acordadas y recursos prácticos.</w:t>
      </w:r>
    </w:p>
    <w:p w14:paraId="1FDBB283" w14:textId="77777777" w:rsidR="00DC6685" w:rsidRDefault="00000000">
      <w:pPr>
        <w:spacing w:after="160" w:line="259" w:lineRule="auto"/>
        <w:jc w:val="both"/>
      </w:pPr>
      <w:r>
        <w:t>El componente de seguimiento terapéutico del plan es fundamental para la sostenibilidad a largo plazo de los resultados de recuperación. La investigación sobre trastornos por consumo de sustancias demuestra de manera consistente que el periodo inmediatamente posterior al alta de un tratamiento residencial es el de mayor riesgo de recaída: un periodo en el que desaparecen las estructuras, relaciones y ritmos diarios del programa residencial y las supervivientes deben navegar el entorno real de la recuperación, con sus tentaciones, tensiones y desafíos genuinos. El programa de seguimiento abordó este riesgo mediante un grupo semanal de apoyo postalta, llamadas telefónicas periódicas de seguimiento por parte de los trabajadores sociales, sesiones individuales mensuales de revisión con la supervisora clínica durante los tres primeros meses posteriores al alta y un protocolo claro de apoyo en crisis si la superviviente o su familia identifican signos de recaída o malestar.</w:t>
      </w:r>
    </w:p>
    <w:p w14:paraId="4A5C01EA" w14:textId="77777777" w:rsidR="00DC6685" w:rsidRDefault="00000000">
      <w:pPr>
        <w:spacing w:after="160" w:line="259" w:lineRule="auto"/>
        <w:jc w:val="both"/>
      </w:pPr>
      <w:r>
        <w:t>El Plan Final de Reunificación también incorporó un plan de prevención de recaídas —desarrollado con las supervivientes durante las últimas semanas del programa— que identificó sus desencadenantes personales de recaída, señales tempranas de alarma y las estrategias concretas de afrontamiento, contactos de apoyo y acciones de emergencia que emplearía si sintiera que su recuperación está en riesgo. Este plan se ha compartido, con su consentimiento, con la persona clave de apoyo familiar de la superviviente, para que la red de apoyo más amplia pueda conocer y responder a señales que la propia superviviente podría tener dificultad para reconocer o comunicar en un momento de crisis.</w:t>
      </w:r>
    </w:p>
    <w:p w14:paraId="46C23BEF" w14:textId="77777777" w:rsidR="00DC6685" w:rsidRDefault="00000000">
      <w:pPr>
        <w:spacing w:after="160" w:line="259" w:lineRule="auto"/>
        <w:jc w:val="both"/>
      </w:pPr>
      <w:r>
        <w:t xml:space="preserve">La ceremonia de alta es en sí misma un acontecimiento importante en el calendario del programa de rehabilitación: un momento de reconocimiento, celebración y comunidad que marca la transición de la participante desde el programa residencial hacia el siguiente capítulo de su vida. Se invitará a los familiares a asistir a la ceremonia junto al personal de rehabilitación. Las supervivientes recibirán sus certificados de finalización del programa, sus certificados de formación vocacional y, para aquellas que hayan hecho contribuciones particularmente significativas a la vida comunitaria del programa, un reconocimiento a su liderazgo y apoyo entre pares. Varias supervivientes se dirigirán al </w:t>
      </w:r>
      <w:r>
        <w:lastRenderedPageBreak/>
        <w:t>grupo durante la ceremonia de alta, compartiendo reflexiones sobre sus recorridos, expresiones de gratitud y palabras de ánimo para compañeras que aún permanecen en el programa.</w:t>
      </w:r>
    </w:p>
    <w:tbl>
      <w:tblPr>
        <w:tblW w:w="0" w:type="auto"/>
        <w:jc w:val="center"/>
        <w:tblLook w:val="04A0" w:firstRow="1" w:lastRow="0" w:firstColumn="1" w:lastColumn="0" w:noHBand="0" w:noVBand="1"/>
      </w:tblPr>
      <w:tblGrid>
        <w:gridCol w:w="5040"/>
        <w:gridCol w:w="5040"/>
      </w:tblGrid>
      <w:tr w:rsidR="00DC6685" w14:paraId="578F5A99" w14:textId="77777777">
        <w:trPr>
          <w:jc w:val="center"/>
        </w:trPr>
        <w:tc>
          <w:tcPr>
            <w:tcW w:w="5040" w:type="dxa"/>
            <w:shd w:val="clear" w:color="auto" w:fill="1F4E79"/>
            <w:vAlign w:val="center"/>
          </w:tcPr>
          <w:p w14:paraId="24821612" w14:textId="77777777" w:rsidR="00DC6685" w:rsidRDefault="00000000">
            <w:pPr>
              <w:jc w:val="center"/>
            </w:pPr>
            <w:r>
              <w:rPr>
                <w:b/>
                <w:color w:val="FFFFFF"/>
                <w:sz w:val="26"/>
              </w:rPr>
              <w:t>15</w:t>
            </w:r>
          </w:p>
        </w:tc>
        <w:tc>
          <w:tcPr>
            <w:tcW w:w="5040" w:type="dxa"/>
            <w:shd w:val="clear" w:color="auto" w:fill="D9EAF7"/>
            <w:vAlign w:val="center"/>
          </w:tcPr>
          <w:p w14:paraId="2D9566A4" w14:textId="77777777" w:rsidR="00DC6685" w:rsidRDefault="00000000">
            <w:r>
              <w:rPr>
                <w:b/>
                <w:color w:val="1F4E79"/>
                <w:sz w:val="24"/>
              </w:rPr>
              <w:t>DESAFÍOS Y LECCIONES APRENDIDAS</w:t>
            </w:r>
          </w:p>
        </w:tc>
      </w:tr>
    </w:tbl>
    <w:p w14:paraId="31938230" w14:textId="77777777" w:rsidR="00DC6685" w:rsidRDefault="00DC6685"/>
    <w:p w14:paraId="02F646C7" w14:textId="77777777" w:rsidR="00DC6685" w:rsidRDefault="00000000">
      <w:pPr>
        <w:spacing w:after="160" w:line="259" w:lineRule="auto"/>
        <w:jc w:val="both"/>
      </w:pPr>
      <w:r>
        <w:t>La implementación del programa de rehabilitación durante el periodo del informe no estuvo exenta de desafíos, y la honestidad intelectual exige que este informe reconozca las dificultades encontradas junto con los logros alcanzados. Estos desafíos se documentan no como admisiones de fracaso, sino como aprendizajes que fortalecerán el diseño y la ejecución del programa en ciclos futuros.</w:t>
      </w:r>
    </w:p>
    <w:p w14:paraId="3D0603E1" w14:textId="77777777" w:rsidR="00DC6685" w:rsidRDefault="00000000">
      <w:pPr>
        <w:spacing w:after="160" w:line="259" w:lineRule="auto"/>
        <w:jc w:val="both"/>
      </w:pPr>
      <w:r>
        <w:rPr>
          <w:b/>
        </w:rPr>
        <w:t>Abandono temprano del programa:</w:t>
      </w:r>
      <w:r>
        <w:t xml:space="preserve"> Una proporción de supervivientes que iniciaron el programa no completó el ciclo completo, retirándose durante las primeras semanas de la fase residencial. Las entrevistas de salida con supervivientes que abandonaron identificaron la ansiedad ante el entorno residencial y, en algunos casos, la intensidad de los síntomas de abstinencia en los primeros días de desintoxicación como razones principales de la deserción. En respuesta, el equipo clínico ha fortalecido el proceso de orientación previa al ingreso para garantizar que las supervivientes tengan expectativas realistas sobre la experiencia del programa, y ha reforzado el apoyo clínico disponible durante la fase de abstinencia.</w:t>
      </w:r>
    </w:p>
    <w:p w14:paraId="2ACFA270" w14:textId="77777777" w:rsidR="00DC6685" w:rsidRDefault="00000000">
      <w:pPr>
        <w:spacing w:after="160" w:line="259" w:lineRule="auto"/>
        <w:jc w:val="both"/>
      </w:pPr>
      <w:r>
        <w:rPr>
          <w:b/>
        </w:rPr>
        <w:t>Desafíos en la implicación familiar:</w:t>
      </w:r>
      <w:r>
        <w:t xml:space="preserve"> Para una minoría de supervivientes, los familiares fueron difíciles de implicar en el proceso de reunificación, ya fuera por distancia geográfica, oposición activa a la recuperación de la superviviente o por sus propios problemas no resueltos relacionados con consumo de sustancias o conflicto doméstico. En estos casos, los trabajadores sociales trabajaron creativamente para identificar alternativas —familiares extensos y figuras comunitarias de confianza— que pudieran proporcionar la base relacional para una reintegración segura. La experiencia ha reforzado la importancia de que el componente de implicación familiar comience pronto y se mantenga de forma flexible durante todo el ciclo del programa.</w:t>
      </w:r>
    </w:p>
    <w:p w14:paraId="7A97690B" w14:textId="77777777" w:rsidR="00DC6685" w:rsidRDefault="00000000">
      <w:pPr>
        <w:spacing w:after="160" w:line="259" w:lineRule="auto"/>
        <w:jc w:val="both"/>
      </w:pPr>
      <w:r>
        <w:rPr>
          <w:b/>
        </w:rPr>
        <w:t>Personal y capacidad:</w:t>
      </w:r>
      <w:r>
        <w:t xml:space="preserve"> La complejidad e intensidad del trabajo clínico requerido por este grupo de supervivientes impone demandas significativas al personal del proyecto, especialmente a la supervisora clínica y a los trabajadores sociales. El estrés traumático secundario y la fatiga por compasión son riesgos ocupacionales reconocidos para profesionales que trabajan con supervivientes de trauma y adicción, y la inversión en supervisión clínica regular, apoyo al bienestar del personal y mecanismos de apoyo entre pares para proteger la resiliencia del equipo y sostener la calidad del vínculo terapéutico es el camino a seguir. La importancia de ratios adecuados de personal y del desarrollo profesional continuo para todo el personal del programa es una lección aprendida y debe reforzarse.</w:t>
      </w:r>
    </w:p>
    <w:p w14:paraId="1DA5BA58" w14:textId="77777777" w:rsidR="00DC6685" w:rsidRDefault="00000000">
      <w:pPr>
        <w:spacing w:after="160" w:line="259" w:lineRule="auto"/>
        <w:jc w:val="both"/>
      </w:pPr>
      <w:r>
        <w:rPr>
          <w:b/>
        </w:rPr>
        <w:t>Riesgo de recaída tras el alta:</w:t>
      </w:r>
      <w:r>
        <w:t xml:space="preserve"> El periodo posterior al alta sigue siendo la fase más desafiante del camino de recuperación para muchas supervivientes. Aunque el programa de seguimiento de REAR proporciona un marco significativo de apoyo continuado, la realidad de volver a comunidades donde el Kush sigue estando fácilmente disponible, donde pares y redes sociales pueden continuar vinculados al consumo de drogas, y donde las presiones económicas y sociales que contribuyeron al consumo original no han cambiado, significa que el riesgo de recaída sigue siendo importante. El programa está explorando activamente modelos reforzados de mentoría entre pares, apoyo comunitario para la prevención de recaídas y alianzas con organizaciones comunitarias que puedan ampliar el alcance del apoyo postalta más allá de lo que REAR puede proporcionar por sí solo.</w:t>
      </w:r>
    </w:p>
    <w:tbl>
      <w:tblPr>
        <w:tblW w:w="0" w:type="auto"/>
        <w:jc w:val="center"/>
        <w:tblLook w:val="04A0" w:firstRow="1" w:lastRow="0" w:firstColumn="1" w:lastColumn="0" w:noHBand="0" w:noVBand="1"/>
      </w:tblPr>
      <w:tblGrid>
        <w:gridCol w:w="5040"/>
        <w:gridCol w:w="5040"/>
      </w:tblGrid>
      <w:tr w:rsidR="00DC6685" w14:paraId="6A208DF9" w14:textId="77777777">
        <w:trPr>
          <w:jc w:val="center"/>
        </w:trPr>
        <w:tc>
          <w:tcPr>
            <w:tcW w:w="5040" w:type="dxa"/>
            <w:shd w:val="clear" w:color="auto" w:fill="1F4E79"/>
            <w:vAlign w:val="center"/>
          </w:tcPr>
          <w:p w14:paraId="79EA724B" w14:textId="77777777" w:rsidR="00DC6685" w:rsidRDefault="00000000">
            <w:pPr>
              <w:jc w:val="center"/>
            </w:pPr>
            <w:r>
              <w:rPr>
                <w:b/>
                <w:color w:val="FFFFFF"/>
                <w:sz w:val="26"/>
              </w:rPr>
              <w:t>16</w:t>
            </w:r>
          </w:p>
        </w:tc>
        <w:tc>
          <w:tcPr>
            <w:tcW w:w="5040" w:type="dxa"/>
            <w:shd w:val="clear" w:color="auto" w:fill="D9EAF7"/>
            <w:vAlign w:val="center"/>
          </w:tcPr>
          <w:p w14:paraId="322FAD85" w14:textId="77777777" w:rsidR="00DC6685" w:rsidRDefault="00000000">
            <w:r>
              <w:rPr>
                <w:b/>
                <w:color w:val="1F4E79"/>
                <w:sz w:val="24"/>
              </w:rPr>
              <w:t>CONCLUSIÓN Y RECOMENDACIONES</w:t>
            </w:r>
          </w:p>
        </w:tc>
      </w:tr>
    </w:tbl>
    <w:p w14:paraId="7DF36E4F" w14:textId="77777777" w:rsidR="00DC6685" w:rsidRDefault="00DC6685"/>
    <w:p w14:paraId="7EDBB944" w14:textId="77777777" w:rsidR="00DC6685" w:rsidRDefault="00000000">
      <w:pPr>
        <w:spacing w:after="160" w:line="259" w:lineRule="auto"/>
        <w:jc w:val="both"/>
      </w:pPr>
      <w:r>
        <w:t xml:space="preserve">El Kush Rehabilitation and Empowerment Project se erige como una respuesta vital, basada en la evidencia y compasiva ante una de las crisis sociales más agudas que afrontan hoy las niñas y jóvenes de Sierra Leone. El programa integral descrito en este informe —desde la captación y cribado inicial de supervivientes, pasando por evaluación médica, terapia individual y grupal, actividades agrícolas, clases de música, formación en habilidades </w:t>
      </w:r>
      <w:r>
        <w:lastRenderedPageBreak/>
        <w:t>vocacionales, excursiones terapéuticas, visitas familiares y planificación final de reunificación— representa un enfoque holístico e integrado de recuperación que aborda toda la complejidad de la adicción y sus consecuencias en las dimensiones física, psicológica, social, económica y familiar.</w:t>
      </w:r>
    </w:p>
    <w:p w14:paraId="4E5F6D8C" w14:textId="77777777" w:rsidR="00DC6685" w:rsidRDefault="00000000">
      <w:pPr>
        <w:spacing w:after="160" w:line="259" w:lineRule="auto"/>
        <w:jc w:val="both"/>
      </w:pPr>
      <w:r>
        <w:t>Los resultados alcanzados durante el periodo del informe —medidos tanto en indicadores clínicos como en la transformación cualitativa de las jóvenes que han pasado por el programa— demuestran más allá de toda duda razonable el valor y el impacto del trabajo del Proyecto REAR. Las jóvenes que se graduarán de este programa no son las mismas personas que llegaron. Se comprenden a sí mismas con mayor claridad. Gestionan sus emociones de forma más eficaz. Poseen habilidades que pueden generar ingresos. Han restaurado relaciones con sus familias. Tienen compañeras que han compartido su camino. Y tienen, por primera vez quizá en mucho tiempo, la sensación de que merece la pena construir el futuro.</w:t>
      </w:r>
    </w:p>
    <w:p w14:paraId="3DFA79D6" w14:textId="77777777" w:rsidR="00DC6685" w:rsidRDefault="00000000">
      <w:pPr>
        <w:spacing w:after="160" w:line="259" w:lineRule="auto"/>
        <w:jc w:val="both"/>
      </w:pPr>
      <w:r>
        <w:t>Sobre la base de la experiencia del programa durante el periodo del informe, se ofrecen las siguientes recomendaciones para consideración de la dirección, miembros de la junta, donantes y partes interesadas clave:</w:t>
      </w:r>
    </w:p>
    <w:p w14:paraId="4D20E8BF" w14:textId="77777777" w:rsidR="00DC6685" w:rsidRDefault="00000000">
      <w:pPr>
        <w:spacing w:after="160" w:line="259" w:lineRule="auto"/>
        <w:jc w:val="both"/>
      </w:pPr>
      <w:r>
        <w:rPr>
          <w:b/>
        </w:rPr>
        <w:t>1. Ampliar la capacidad de trabajo comunitario:</w:t>
      </w:r>
      <w:r>
        <w:t xml:space="preserve"> La inversión en trabajo comunitario adicional permitiría al Proyecto REAR alcanzar a un mayor número de jóvenes necesitadas e identificar e implicar antes a potenciales víctimas en el curso de su adicción, cuando la intervención es más eficaz.</w:t>
      </w:r>
    </w:p>
    <w:p w14:paraId="028DD7B5" w14:textId="77777777" w:rsidR="00DC6685" w:rsidRDefault="00000000">
      <w:pPr>
        <w:spacing w:after="160" w:line="259" w:lineRule="auto"/>
        <w:jc w:val="both"/>
      </w:pPr>
      <w:r>
        <w:rPr>
          <w:b/>
        </w:rPr>
        <w:t>2. Fortalecer el programa de seguimiento:</w:t>
      </w:r>
      <w:r>
        <w:t xml:space="preserve"> El desarrollo de un programa de seguimiento más estructurado y dotado de recursos —incluida mentoría entre pares, grupos de apoyo comunitarios y gestión de casos extendida— es la inversión más importante que el Proyecto REAR puede realizar para la sostenibilidad a largo plazo de sus resultados.</w:t>
      </w:r>
    </w:p>
    <w:p w14:paraId="1698F8F2" w14:textId="77777777" w:rsidR="00DC6685" w:rsidRDefault="00000000">
      <w:pPr>
        <w:spacing w:after="160" w:line="259" w:lineRule="auto"/>
        <w:jc w:val="both"/>
      </w:pPr>
      <w:r>
        <w:rPr>
          <w:b/>
        </w:rPr>
        <w:t>3. Invertir en desarrollo y bienestar del personal:</w:t>
      </w:r>
      <w:r>
        <w:t xml:space="preserve"> La calidad de la atención clínica prestada por el programa de rehabilitación es inseparable del bienestar y desarrollo profesional del personal que la proporciona. La formación regular en atención informada por el trauma y el apoyo estructurado al bienestar del personal deben constituir componentes formales y financiados del programa.</w:t>
      </w:r>
    </w:p>
    <w:p w14:paraId="05932C9E" w14:textId="77777777" w:rsidR="00DC6685" w:rsidRDefault="00000000">
      <w:pPr>
        <w:spacing w:after="160" w:line="259" w:lineRule="auto"/>
        <w:jc w:val="both"/>
      </w:pPr>
      <w:r>
        <w:rPr>
          <w:b/>
        </w:rPr>
        <w:t>4. Desarrollar redes de antiguas participantes:</w:t>
      </w:r>
      <w:r>
        <w:t xml:space="preserve"> El establecimiento de una red formal de antiguas participantes de REAR —conectando a graduadas del programa para apoyo mutuo, mentoría entre pares y defensa compartida— fortalecería significativamente el ecosistema de apoyo posterior al alta y generaría evidencia poderosa del impacto a largo plazo del programa.</w:t>
      </w:r>
    </w:p>
    <w:p w14:paraId="7A236590" w14:textId="77777777" w:rsidR="00DC6685" w:rsidRDefault="00000000">
      <w:pPr>
        <w:spacing w:after="160" w:line="259" w:lineRule="auto"/>
        <w:jc w:val="both"/>
      </w:pPr>
      <w:r>
        <w:rPr>
          <w:b/>
        </w:rPr>
        <w:t>5. Promover cambios sistémicos:</w:t>
      </w:r>
      <w:r>
        <w:t xml:space="preserve"> La experiencia del programa REAR genera evidencia irreemplazable sobre los factores que impulsan el consumo de Kush entre niñas y jóvenes en Sierra Leone, las barreras para la recuperación y los cambios de política —en salud, educación, bienestar social, aplicación de la ley y oportunidades económicas— necesarios para abordar la epidemia en sus raíces. El Proyecto REAR debe utilizar activamente esta evidencia en su labor de incidencia ante el gobierno, los donantes y la comunidad más amplia de sociedad civil y desarrollo.</w:t>
      </w:r>
    </w:p>
    <w:p w14:paraId="3AFC400C" w14:textId="77777777" w:rsidR="00DC6685" w:rsidRDefault="00000000">
      <w:pPr>
        <w:spacing w:after="160" w:line="259" w:lineRule="auto"/>
        <w:jc w:val="both"/>
      </w:pPr>
      <w:r>
        <w:rPr>
          <w:b/>
        </w:rPr>
        <w:t>Declaración final del Project Manager:</w:t>
      </w:r>
      <w:r>
        <w:t xml:space="preserve"> “Cada joven que cruza la puerta de este programa trae consigo no solo dolor y lucha, sino también un valor extraordinario: el valor de decir que quiere algo diferente, que cree, aunque sea débilmente, que una vida distinta es posible. Nuestro trabajo es honrar ese valor con lo mejor que tenemos para ofrecer: la mejor atención clínica, el mejor apoyo de empoderamiento, la mejor implicación familiar y la mejor preparación para el futuro. Este informe documenta nuestro compromiso con ese estándar. Las jóvenes que han pasado por este programa no merecen menos. Y Sierra Leone —que necesita a cada mujer joven capaz, empoderada y recuperada que pueda nutrir— tampoco merece menos.” Project Manager, Kush Rehabilitation and Empowerment Project, Freetown, Sierra Leone</w:t>
      </w:r>
    </w:p>
    <w:p w14:paraId="7A31D410" w14:textId="77777777" w:rsidR="00DC6685" w:rsidRDefault="00000000">
      <w:pPr>
        <w:spacing w:after="160" w:line="259" w:lineRule="auto"/>
        <w:jc w:val="both"/>
      </w:pPr>
      <w:r>
        <w:rPr>
          <w:b/>
        </w:rPr>
        <w:t>KUSH REHABILITATION AND EMPOWERMENT PROJECT (KREP)</w:t>
      </w:r>
      <w:r>
        <w:rPr>
          <w:b/>
        </w:rPr>
        <w:br/>
        <w:t>Freetown, Sierra Leone | Sanación · Empoderamiento · Reintegración</w:t>
      </w:r>
      <w:r>
        <w:rPr>
          <w:b/>
        </w:rPr>
        <w:br/>
        <w:t>Ref.:</w:t>
      </w:r>
      <w:r>
        <w:t xml:space="preserve"> KREP-NR-2026 | Confidencial — Solo para uso oficial</w:t>
      </w:r>
    </w:p>
    <w:sectPr w:rsidR="00DC6685" w:rsidSect="00034616">
      <w:headerReference w:type="default" r:id="rId8"/>
      <w:footerReference w:type="default" r:id="rId9"/>
      <w:pgSz w:w="12240" w:h="15840"/>
      <w:pgMar w:top="936" w:right="1080" w:bottom="936"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39C5B3" w14:textId="77777777" w:rsidR="009F4A69" w:rsidRDefault="009F4A69">
      <w:pPr>
        <w:spacing w:after="0" w:line="240" w:lineRule="auto"/>
      </w:pPr>
      <w:r>
        <w:separator/>
      </w:r>
    </w:p>
  </w:endnote>
  <w:endnote w:type="continuationSeparator" w:id="0">
    <w:p w14:paraId="5714267D" w14:textId="77777777" w:rsidR="009F4A69" w:rsidRDefault="009F4A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8BAF46" w14:textId="77777777" w:rsidR="00DC6685" w:rsidRDefault="00000000">
    <w:pPr>
      <w:pStyle w:val="Piedepgina"/>
      <w:jc w:val="center"/>
    </w:pPr>
    <w:r>
      <w:rPr>
        <w:sz w:val="16"/>
      </w:rPr>
      <w:t xml:space="preserve">Kush Rehabilitation and Empowerment Project | Informe </w:t>
    </w:r>
    <w:proofErr w:type="spellStart"/>
    <w:r>
      <w:rPr>
        <w:sz w:val="16"/>
      </w:rPr>
      <w:t>narrativo</w:t>
    </w:r>
    <w:proofErr w:type="spellEnd"/>
    <w:r>
      <w:rPr>
        <w:sz w:val="16"/>
      </w:rPr>
      <w:t xml:space="preserve"> integral | Freetown, Sierra Leone | </w:t>
    </w:r>
    <w:proofErr w:type="spellStart"/>
    <w:r>
      <w:rPr>
        <w:sz w:val="16"/>
      </w:rPr>
      <w:t>Confidencial</w:t>
    </w:r>
    <w:proofErr w:type="spellEnd"/>
    <w:r>
      <w:rPr>
        <w:sz w:val="16"/>
      </w:rPr>
      <w:t xml:space="preserve"> — Para </w:t>
    </w:r>
    <w:proofErr w:type="spellStart"/>
    <w:r>
      <w:rPr>
        <w:sz w:val="16"/>
      </w:rPr>
      <w:t>uso</w:t>
    </w:r>
    <w:proofErr w:type="spellEnd"/>
    <w:r>
      <w:rPr>
        <w:sz w:val="16"/>
      </w:rPr>
      <w:t xml:space="preserve"> </w:t>
    </w:r>
    <w:proofErr w:type="spellStart"/>
    <w:r>
      <w:rPr>
        <w:sz w:val="16"/>
      </w:rPr>
      <w:t>oficial</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D1B848" w14:textId="77777777" w:rsidR="009F4A69" w:rsidRDefault="009F4A69">
      <w:pPr>
        <w:spacing w:after="0" w:line="240" w:lineRule="auto"/>
      </w:pPr>
      <w:r>
        <w:separator/>
      </w:r>
    </w:p>
  </w:footnote>
  <w:footnote w:type="continuationSeparator" w:id="0">
    <w:p w14:paraId="3D991EFF" w14:textId="77777777" w:rsidR="009F4A69" w:rsidRDefault="009F4A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AFB44" w14:textId="77777777" w:rsidR="00DC6685" w:rsidRDefault="00000000">
    <w:pPr>
      <w:pStyle w:val="Encabezado"/>
      <w:jc w:val="center"/>
    </w:pPr>
    <w:r>
      <w:rPr>
        <w:sz w:val="16"/>
      </w:rPr>
      <w:t xml:space="preserve">KUSH REHABILITATION AND EMPOWERMENT PROJECT (REAR PROJECT) | Informe </w:t>
    </w:r>
    <w:proofErr w:type="spellStart"/>
    <w:r>
      <w:rPr>
        <w:sz w:val="16"/>
      </w:rPr>
      <w:t>narrativo</w:t>
    </w:r>
    <w:proofErr w:type="spellEnd"/>
    <w:r>
      <w:rPr>
        <w:sz w:val="16"/>
      </w:rPr>
      <w:t xml:space="preserve"> integral del </w:t>
    </w:r>
    <w:proofErr w:type="spellStart"/>
    <w:r>
      <w:rPr>
        <w:sz w:val="16"/>
      </w:rPr>
      <w:t>proyecto</w:t>
    </w:r>
    <w:proofErr w:type="spellEnd"/>
    <w:r>
      <w:rPr>
        <w:sz w:val="16"/>
      </w:rPr>
      <w:t xml:space="preserve"> | Freetown, Sierra Leone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16cid:durableId="25984965">
    <w:abstractNumId w:val="8"/>
  </w:num>
  <w:num w:numId="2" w16cid:durableId="1260799171">
    <w:abstractNumId w:val="6"/>
  </w:num>
  <w:num w:numId="3" w16cid:durableId="238907580">
    <w:abstractNumId w:val="5"/>
  </w:num>
  <w:num w:numId="4" w16cid:durableId="1655646421">
    <w:abstractNumId w:val="4"/>
  </w:num>
  <w:num w:numId="5" w16cid:durableId="1101073012">
    <w:abstractNumId w:val="7"/>
  </w:num>
  <w:num w:numId="6" w16cid:durableId="1091392656">
    <w:abstractNumId w:val="3"/>
  </w:num>
  <w:num w:numId="7" w16cid:durableId="1846627108">
    <w:abstractNumId w:val="2"/>
  </w:num>
  <w:num w:numId="8" w16cid:durableId="783040044">
    <w:abstractNumId w:val="1"/>
  </w:num>
  <w:num w:numId="9" w16cid:durableId="6075891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5"/>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A7725"/>
    <w:rsid w:val="0029639D"/>
    <w:rsid w:val="00326F90"/>
    <w:rsid w:val="006B7CDB"/>
    <w:rsid w:val="009F4A69"/>
    <w:rsid w:val="00AA1D8D"/>
    <w:rsid w:val="00B47730"/>
    <w:rsid w:val="00CB0664"/>
    <w:rsid w:val="00DC6685"/>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22D0240"/>
  <w14:defaultImageDpi w14:val="300"/>
  <w15:docId w15:val="{7766E7AF-AFD1-814C-A281-CAB4A498A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hAnsi="Calibri"/>
      <w:sz w:val="21"/>
    </w:rPr>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Fuerte">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8523</Words>
  <Characters>46881</Characters>
  <Application>Microsoft Office Word</Application>
  <DocSecurity>0</DocSecurity>
  <Lines>390</Lines>
  <Paragraphs>110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55294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Jaime Javaloy</cp:lastModifiedBy>
  <cp:revision>2</cp:revision>
  <dcterms:created xsi:type="dcterms:W3CDTF">2026-05-24T08:23:00Z</dcterms:created>
  <dcterms:modified xsi:type="dcterms:W3CDTF">2026-05-24T08:23:00Z</dcterms:modified>
  <cp:category/>
</cp:coreProperties>
</file>